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2630EF42" w:rsidR="00EE692E" w:rsidRDefault="00F20A50" w:rsidP="00EE692E">
      <w:pPr>
        <w:jc w:val="center"/>
        <w:rPr>
          <w:rFonts w:ascii="Times New Roman" w:eastAsia="Times New Roman" w:hAnsi="Times New Roman" w:cs="Times New Roman"/>
          <w:b/>
          <w:color w:val="002060"/>
          <w:sz w:val="52"/>
          <w:szCs w:val="52"/>
        </w:rPr>
      </w:pPr>
      <w:r w:rsidRPr="00F20A50">
        <w:rPr>
          <w:rFonts w:ascii="Times New Roman" w:eastAsia="Times New Roman" w:hAnsi="Times New Roman" w:cs="Times New Roman"/>
          <w:b/>
          <w:color w:val="002060"/>
          <w:sz w:val="52"/>
          <w:szCs w:val="52"/>
        </w:rPr>
        <w:t>Production Management II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0C57134D" w:rsidR="00DA7184" w:rsidRPr="00856519" w:rsidRDefault="00F20A50" w:rsidP="00EE1135">
      <w:pPr>
        <w:jc w:val="center"/>
        <w:rPr>
          <w:rFonts w:ascii="Times New Roman" w:hAnsi="Times New Roman" w:cs="Times New Roman"/>
          <w:b/>
          <w:sz w:val="32"/>
        </w:rPr>
      </w:pPr>
      <w:r>
        <w:rPr>
          <w:rFonts w:ascii="Times New Roman" w:hAnsi="Times New Roman" w:cs="Times New Roman"/>
          <w:b/>
          <w:sz w:val="32"/>
        </w:rPr>
        <w:t>Third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Pr>
          <w:rFonts w:ascii="Times New Roman" w:hAnsi="Times New Roman" w:cs="Times New Roman"/>
          <w:b/>
          <w:sz w:val="32"/>
        </w:rPr>
        <w:t xml:space="preserve">Second </w:t>
      </w:r>
      <w:r w:rsidR="00DA7184" w:rsidRPr="00856519">
        <w:rPr>
          <w:rFonts w:ascii="Times New Roman" w:hAnsi="Times New Roman" w:cs="Times New Roman"/>
          <w:b/>
          <w:sz w:val="32"/>
        </w:rPr>
        <w:t>Semester</w:t>
      </w:r>
    </w:p>
    <w:p w14:paraId="535D6D82" w14:textId="77777777" w:rsidR="00DA7184" w:rsidRPr="005E6461" w:rsidRDefault="00DA7184" w:rsidP="000D6990">
      <w:pPr>
        <w:rPr>
          <w:rFonts w:ascii="Times New Roman" w:hAnsi="Times New Roman" w:cs="Times New Roman"/>
          <w:b/>
          <w:sz w:val="40"/>
        </w:rPr>
      </w:pPr>
    </w:p>
    <w:p w14:paraId="423F0811" w14:textId="4681D1C3" w:rsidR="00DA7184" w:rsidRPr="000D6990" w:rsidRDefault="0079605A" w:rsidP="003E7301">
      <w:pPr>
        <w:jc w:val="center"/>
        <w:rPr>
          <w:rFonts w:ascii="Times New Roman" w:hAnsi="Times New Roman" w:cs="Times New Roman"/>
          <w:b/>
          <w:color w:val="002060"/>
          <w:sz w:val="36"/>
        </w:rPr>
      </w:pPr>
      <w:r w:rsidRPr="0079605A">
        <w:rPr>
          <w:rFonts w:ascii="Times New Roman" w:hAnsi="Times New Roman" w:cs="Times New Roman"/>
          <w:b/>
          <w:color w:val="002060"/>
          <w:sz w:val="36"/>
        </w:rPr>
        <w:t>Asst. Prof.</w:t>
      </w:r>
      <w:r w:rsidR="00F20A50">
        <w:rPr>
          <w:rFonts w:ascii="Times New Roman" w:hAnsi="Times New Roman" w:cs="Times New Roman"/>
          <w:b/>
          <w:color w:val="002060"/>
          <w:sz w:val="36"/>
        </w:rPr>
        <w:t xml:space="preserve"> Prabhu </w:t>
      </w:r>
      <w:proofErr w:type="spellStart"/>
      <w:r w:rsidR="00F20A50">
        <w:rPr>
          <w:rFonts w:ascii="Times New Roman" w:hAnsi="Times New Roman" w:cs="Times New Roman"/>
          <w:b/>
          <w:color w:val="002060"/>
          <w:sz w:val="36"/>
        </w:rPr>
        <w:t>Mannadhan</w:t>
      </w:r>
      <w:proofErr w:type="spellEnd"/>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B6F70E6" w:rsidR="00B8581F" w:rsidRPr="00A33CF9" w:rsidRDefault="00F20A50" w:rsidP="00B8581F">
            <w:pPr>
              <w:jc w:val="both"/>
              <w:rPr>
                <w:rFonts w:ascii="Times New Roman" w:hAnsi="Times New Roman" w:cs="Times New Roman"/>
              </w:rPr>
            </w:pPr>
            <w:r w:rsidRPr="00F20A50">
              <w:rPr>
                <w:rFonts w:ascii="Times New Roman" w:hAnsi="Times New Roman" w:cs="Times New Roman"/>
              </w:rPr>
              <w:t>Production Management II</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677D7E95" w:rsidR="00B8581F" w:rsidRPr="00A33CF9" w:rsidRDefault="00F20A50" w:rsidP="00B8581F">
            <w:pPr>
              <w:jc w:val="both"/>
              <w:rPr>
                <w:rFonts w:ascii="Times New Roman" w:hAnsi="Times New Roman" w:cs="Times New Roman"/>
              </w:rPr>
            </w:pPr>
            <w:r w:rsidRPr="00F20A50">
              <w:rPr>
                <w:rFonts w:ascii="Jacques Francois Shadow" w:eastAsia="Jacques Francois Shadow" w:hAnsi="Jacques Francois Shadow" w:cs="Arial"/>
                <w:lang w:bidi="ar-IQ"/>
              </w:rPr>
              <w:t>BA322PM</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2A51F453" w:rsidR="00B8581F" w:rsidRPr="00A33CF9" w:rsidRDefault="00F20A50" w:rsidP="00B8581F">
            <w:pPr>
              <w:jc w:val="both"/>
              <w:rPr>
                <w:rFonts w:ascii="Times New Roman" w:hAnsi="Times New Roman" w:cs="Times New Roman"/>
              </w:rPr>
            </w:pPr>
            <w:r>
              <w:rPr>
                <w:rFonts w:ascii="Jacques Francois Shadow" w:eastAsia="Jacques Francois Shadow" w:hAnsi="Jacques Francois Shadow" w:cs="Arial"/>
                <w:lang w:bidi="ar-IQ"/>
              </w:rPr>
              <w:t xml:space="preserve">Dr. Prabhu </w:t>
            </w:r>
            <w:proofErr w:type="spellStart"/>
            <w:r>
              <w:rPr>
                <w:rFonts w:ascii="Jacques Francois Shadow" w:eastAsia="Jacques Francois Shadow" w:hAnsi="Jacques Francois Shadow" w:cs="Arial"/>
                <w:lang w:bidi="ar-IQ"/>
              </w:rPr>
              <w:t>Mannadhan</w:t>
            </w:r>
            <w:proofErr w:type="spellEnd"/>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13D2E1A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F20A50">
              <w:rPr>
                <w:rFonts w:ascii="Times New Roman" w:hAnsi="Times New Roman" w:cs="Times New Roman"/>
              </w:rPr>
              <w:t>Business 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41F7DB1D" w:rsidR="00B8581F" w:rsidRPr="00A33CF9" w:rsidRDefault="00F20A50" w:rsidP="007D67C3">
            <w:pPr>
              <w:jc w:val="both"/>
              <w:rPr>
                <w:rFonts w:ascii="Times New Roman" w:hAnsi="Times New Roman" w:cs="Times New Roman"/>
              </w:rPr>
            </w:pPr>
            <w:r w:rsidRPr="00F20A50">
              <w:rPr>
                <w:rFonts w:ascii="Jacques Francois Shadow" w:eastAsia="Jacques Francois Shadow" w:hAnsi="Jacques Francois Shadow" w:cs="Jacques Francois Shadow"/>
              </w:rPr>
              <w:t>bordauprabhu@lfu.edu.krd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478CE78E" w:rsidR="00B8581F" w:rsidRPr="00A33CF9" w:rsidRDefault="00F20A50" w:rsidP="00B8581F">
            <w:pPr>
              <w:jc w:val="both"/>
              <w:rPr>
                <w:rFonts w:ascii="Times New Roman" w:hAnsi="Times New Roman" w:cs="Times New Roman"/>
              </w:rPr>
            </w:pPr>
            <w:r>
              <w:rPr>
                <w:rFonts w:ascii="Times New Roman" w:hAnsi="Times New Roman" w:cs="Times New Roman"/>
              </w:rPr>
              <w:t>Sunday</w:t>
            </w:r>
            <w:r w:rsidR="00501ABC">
              <w:rPr>
                <w:rFonts w:ascii="Times New Roman" w:hAnsi="Times New Roman" w:cs="Times New Roman"/>
              </w:rPr>
              <w:t xml:space="preserve"> </w:t>
            </w:r>
            <w:r>
              <w:rPr>
                <w:rFonts w:ascii="Times New Roman" w:hAnsi="Times New Roman" w:cs="Times New Roman"/>
              </w:rPr>
              <w:t>9</w:t>
            </w:r>
            <w:r w:rsidR="00501ABC">
              <w:rPr>
                <w:rFonts w:ascii="Times New Roman" w:hAnsi="Times New Roman" w:cs="Times New Roman"/>
              </w:rPr>
              <w:t>:00-</w:t>
            </w:r>
            <w:r>
              <w:rPr>
                <w:rFonts w:ascii="Times New Roman" w:hAnsi="Times New Roman" w:cs="Times New Roman"/>
              </w:rPr>
              <w:t>01</w:t>
            </w:r>
            <w:r w:rsidR="00501ABC">
              <w:rPr>
                <w:rFonts w:ascii="Times New Roman" w:hAnsi="Times New Roman" w:cs="Times New Roman"/>
              </w:rPr>
              <w:t xml:space="preserve">:00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142A28DC" w:rsidR="006E7A9C" w:rsidRPr="00A33CF9" w:rsidRDefault="00F20A50" w:rsidP="006E7A9C">
            <w:pPr>
              <w:jc w:val="both"/>
              <w:rPr>
                <w:rFonts w:ascii="Times New Roman" w:hAnsi="Times New Roman" w:cs="Times New Roman"/>
              </w:rPr>
            </w:pPr>
            <w:r w:rsidRPr="00F20A50">
              <w:rPr>
                <w:rFonts w:ascii="Times New Roman" w:hAnsi="Times New Roman" w:cs="Times New Roman"/>
              </w:rPr>
              <w:t>https://staff.lfu.edu.krd/faculty/bordauprabhu</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7F7A134E" w:rsidR="006E7A9C" w:rsidRPr="00E4471D" w:rsidRDefault="00F20A50" w:rsidP="006E7A9C">
            <w:pPr>
              <w:jc w:val="both"/>
              <w:rPr>
                <w:rFonts w:ascii="Times New Roman" w:hAnsi="Times New Roman" w:cs="Times New Roman"/>
              </w:rPr>
            </w:pPr>
            <w:r>
              <w:rPr>
                <w:rFonts w:ascii="Times New Roman" w:hAnsi="Times New Roman" w:cs="Times New Roman"/>
              </w:rPr>
              <w:t>Assistant Professor</w:t>
            </w:r>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039C02C3" w:rsidR="006E7A9C" w:rsidRPr="0037796D" w:rsidRDefault="00F20A50" w:rsidP="0037796D">
            <w:pPr>
              <w:jc w:val="both"/>
              <w:rPr>
                <w:rFonts w:ascii="Times New Roman" w:eastAsia="Times New Roman" w:hAnsi="Times New Roman" w:cs="Times New Roman"/>
              </w:rPr>
            </w:pPr>
            <w:r w:rsidRPr="00F20A50">
              <w:rPr>
                <w:rFonts w:ascii="Times New Roman" w:eastAsia="Times New Roman" w:hAnsi="Times New Roman" w:cs="Times New Roman"/>
              </w:rPr>
              <w:t>Production, Operation, Manufacturing, Mass Production and Maintenance</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64526AF1" w14:textId="05A2891E" w:rsidR="006E7A9C" w:rsidRPr="00BF760D" w:rsidRDefault="006E7A9C" w:rsidP="0079605A">
            <w:pPr>
              <w:shd w:val="clear" w:color="auto" w:fill="FFFFFF"/>
              <w:autoSpaceDE w:val="0"/>
              <w:autoSpaceDN w:val="0"/>
              <w:adjustRightInd w:val="0"/>
              <w:spacing w:before="100" w:beforeAutospacing="1" w:after="160" w:line="360" w:lineRule="auto"/>
              <w:ind w:left="24"/>
              <w:jc w:val="both"/>
              <w:rPr>
                <w:rFonts w:asciiTheme="minorBidi" w:hAnsiTheme="minorBidi"/>
                <w:color w:val="000000" w:themeColor="text1"/>
                <w:sz w:val="24"/>
                <w:szCs w:val="24"/>
              </w:rPr>
            </w:pPr>
            <w:r w:rsidRPr="00D633F6">
              <w:rPr>
                <w:rFonts w:ascii="Times New Roman" w:hAnsi="Times New Roman" w:cs="Times New Roman"/>
                <w:b/>
              </w:rPr>
              <w:t>Course Overview:</w:t>
            </w:r>
            <w:r w:rsidR="0037796D">
              <w:t xml:space="preserve"> </w:t>
            </w:r>
            <w:r w:rsidR="00F20A50" w:rsidRPr="00FD2F19">
              <w:rPr>
                <w:rFonts w:eastAsia="Calibri"/>
              </w:rPr>
              <w:t xml:space="preserve"> An organization consists mainly of four functional subsystems, viz. Finance, Personal, Production and Marketing. Productivity is the main concern of any industrial/service organization for its survival in the competitive business world, and it can be achieved in different ways. This course addresses issues and methods of productivity/operations management. It focuses on the problems that frequently confront production/operations managers in achieving this course; the students should appreciate the role of operations managers in achieving a company’s business goals. The topics discussed in this course include </w:t>
            </w:r>
            <w:r w:rsidR="00F20A50" w:rsidRPr="00154840">
              <w:rPr>
                <w:rFonts w:eastAsia="Calibri"/>
              </w:rPr>
              <w:t>Nature of Aggregate Planning Decisions</w:t>
            </w:r>
            <w:r w:rsidR="00F20A50">
              <w:rPr>
                <w:rFonts w:eastAsia="Calibri"/>
              </w:rPr>
              <w:t xml:space="preserve">, </w:t>
            </w:r>
            <w:r w:rsidR="00F20A50" w:rsidRPr="00154840">
              <w:rPr>
                <w:rFonts w:eastAsia="Calibri"/>
              </w:rPr>
              <w:t xml:space="preserve">Aggregate Planning </w:t>
            </w:r>
            <w:proofErr w:type="gramStart"/>
            <w:r w:rsidR="00F20A50" w:rsidRPr="00154840">
              <w:rPr>
                <w:rFonts w:eastAsia="Calibri"/>
              </w:rPr>
              <w:t>Strategies</w:t>
            </w:r>
            <w:r w:rsidR="00F20A50">
              <w:rPr>
                <w:rFonts w:eastAsia="Calibri"/>
              </w:rPr>
              <w:t xml:space="preserve">,  </w:t>
            </w:r>
            <w:r w:rsidR="00F20A50" w:rsidRPr="00154840">
              <w:rPr>
                <w:rFonts w:eastAsia="Calibri"/>
              </w:rPr>
              <w:t>Material</w:t>
            </w:r>
            <w:proofErr w:type="gramEnd"/>
            <w:r w:rsidR="00F20A50" w:rsidRPr="00154840">
              <w:rPr>
                <w:rFonts w:eastAsia="Calibri"/>
              </w:rPr>
              <w:t xml:space="preserve"> Requirement Planning</w:t>
            </w:r>
            <w:r w:rsidR="00F20A50">
              <w:rPr>
                <w:rFonts w:eastAsia="Calibri"/>
              </w:rPr>
              <w:t xml:space="preserve">, </w:t>
            </w:r>
            <w:r w:rsidR="00F20A50" w:rsidRPr="00154840">
              <w:rPr>
                <w:rFonts w:eastAsia="Calibri"/>
              </w:rPr>
              <w:t>Work Study</w:t>
            </w:r>
            <w:r w:rsidR="00F20A50">
              <w:rPr>
                <w:rFonts w:eastAsia="Calibri"/>
              </w:rPr>
              <w:t xml:space="preserve">, </w:t>
            </w:r>
            <w:r w:rsidR="00F20A50" w:rsidRPr="00154840">
              <w:rPr>
                <w:rFonts w:eastAsia="Calibri"/>
              </w:rPr>
              <w:t>Quality Control</w:t>
            </w:r>
            <w:r w:rsidR="00F20A50">
              <w:rPr>
                <w:rFonts w:eastAsia="Calibri"/>
              </w:rPr>
              <w:t xml:space="preserve">, </w:t>
            </w:r>
            <w:r w:rsidR="00F20A50" w:rsidRPr="00154840">
              <w:rPr>
                <w:rFonts w:eastAsia="Calibri"/>
              </w:rPr>
              <w:t>Material Handling Systems</w:t>
            </w:r>
            <w:r w:rsidR="00F20A50">
              <w:rPr>
                <w:rFonts w:eastAsia="Calibri"/>
              </w:rPr>
              <w:t xml:space="preserve">, </w:t>
            </w:r>
            <w:r w:rsidR="00F20A50" w:rsidRPr="00154840">
              <w:rPr>
                <w:rFonts w:eastAsia="Calibri"/>
              </w:rPr>
              <w:t>Inventory</w:t>
            </w:r>
            <w:r w:rsidR="00F20A50">
              <w:rPr>
                <w:rFonts w:eastAsia="Calibri"/>
              </w:rPr>
              <w:t xml:space="preserve">, </w:t>
            </w:r>
            <w:r w:rsidR="00F20A50" w:rsidRPr="00154840">
              <w:rPr>
                <w:rFonts w:eastAsia="Calibri"/>
              </w:rPr>
              <w:t>Just-In-Time (JIT) Manufacturing</w:t>
            </w:r>
            <w:r w:rsidR="00F20A50">
              <w:rPr>
                <w:rFonts w:eastAsia="Calibri"/>
              </w:rPr>
              <w:t xml:space="preserve">, </w:t>
            </w:r>
            <w:r w:rsidR="00F20A50" w:rsidRPr="00154840">
              <w:rPr>
                <w:rFonts w:eastAsia="Calibri"/>
              </w:rPr>
              <w:t>Kanban</w:t>
            </w:r>
            <w:r w:rsidR="00F20A50">
              <w:rPr>
                <w:rFonts w:eastAsia="Calibri"/>
              </w:rPr>
              <w:t xml:space="preserve">, </w:t>
            </w:r>
            <w:r w:rsidR="00F20A50" w:rsidRPr="00154840">
              <w:rPr>
                <w:rFonts w:eastAsia="Calibri"/>
              </w:rPr>
              <w:t>Forecasting</w:t>
            </w:r>
            <w:r w:rsidR="00F20A50">
              <w:rPr>
                <w:rFonts w:eastAsia="Calibri"/>
              </w:rPr>
              <w:t xml:space="preserve">, </w:t>
            </w:r>
            <w:r w:rsidR="00F20A50" w:rsidRPr="00154840">
              <w:rPr>
                <w:rFonts w:eastAsia="Calibri"/>
              </w:rPr>
              <w:t>Source of Data</w:t>
            </w:r>
            <w:r w:rsidR="00F20A50">
              <w:rPr>
                <w:rFonts w:eastAsia="Calibri"/>
              </w:rPr>
              <w:t xml:space="preserve"> and </w:t>
            </w:r>
            <w:r w:rsidR="00F20A50" w:rsidRPr="00154840">
              <w:rPr>
                <w:rFonts w:eastAsia="Calibri"/>
              </w:rPr>
              <w:t>Demand Patterns</w:t>
            </w:r>
            <w:r w:rsidR="00F20A50">
              <w:rPr>
                <w:rFonts w:eastAsia="Calibri"/>
              </w:rPr>
              <w:t>.</w:t>
            </w:r>
            <w:r>
              <w:rPr>
                <w:rFonts w:ascii="Times New Roman" w:hAnsi="Times New Roman" w:cs="Times New Roman"/>
              </w:rPr>
              <w:t xml:space="preserve">  </w:t>
            </w:r>
          </w:p>
        </w:tc>
      </w:tr>
    </w:tbl>
    <w:p w14:paraId="7D038ED5" w14:textId="77777777" w:rsidR="00A51CF4" w:rsidRDefault="00A51CF4" w:rsidP="00CC3314">
      <w:pPr>
        <w:jc w:val="both"/>
        <w:rPr>
          <w:rFonts w:ascii="Times New Roman" w:hAnsi="Times New Roman" w:cs="Times New Roman"/>
        </w:rPr>
      </w:pPr>
    </w:p>
    <w:p w14:paraId="74A7A0D0" w14:textId="77777777" w:rsidR="0079605A" w:rsidRDefault="0079605A" w:rsidP="00CC3314">
      <w:pPr>
        <w:jc w:val="both"/>
        <w:rPr>
          <w:rFonts w:ascii="Times New Roman" w:hAnsi="Times New Roman" w:cs="Times New Roman"/>
        </w:rPr>
      </w:pPr>
    </w:p>
    <w:p w14:paraId="3F29A8FC" w14:textId="77777777" w:rsidR="0079605A" w:rsidRDefault="0079605A" w:rsidP="00CC3314">
      <w:pPr>
        <w:jc w:val="both"/>
        <w:rPr>
          <w:rFonts w:ascii="Times New Roman" w:hAnsi="Times New Roman" w:cs="Times New Roman"/>
        </w:rPr>
      </w:pPr>
    </w:p>
    <w:p w14:paraId="31053314" w14:textId="77777777" w:rsidR="0079605A" w:rsidRDefault="0079605A"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14:paraId="78792A20" w14:textId="77777777" w:rsidTr="00824866">
        <w:tc>
          <w:tcPr>
            <w:tcW w:w="1413" w:type="dxa"/>
            <w:vAlign w:val="center"/>
          </w:tcPr>
          <w:p w14:paraId="0C8B7EAA" w14:textId="77777777" w:rsidR="00F20A50" w:rsidRPr="00B455E2" w:rsidRDefault="00F20A50" w:rsidP="00F20A50">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vAlign w:val="center"/>
          </w:tcPr>
          <w:p w14:paraId="4ADDF3B3" w14:textId="427A390A" w:rsidR="0079605A" w:rsidRPr="0079605A" w:rsidRDefault="0079605A" w:rsidP="0079605A">
            <w:pPr>
              <w:jc w:val="both"/>
              <w:rPr>
                <w:rFonts w:ascii="Times New Roman" w:hAnsi="Times New Roman" w:cs="Times New Roman"/>
                <w:b/>
              </w:rPr>
            </w:pPr>
            <w:r w:rsidRPr="00BC524C">
              <w:rPr>
                <w:rFonts w:ascii="Times New Roman" w:hAnsi="Times New Roman" w:cs="Times New Roman"/>
                <w:b/>
              </w:rPr>
              <w:t>Aims &amp; Objective:</w:t>
            </w:r>
          </w:p>
          <w:p w14:paraId="6BB6FBEF" w14:textId="5D1D5F4D" w:rsidR="00F20A50" w:rsidRPr="00F20A50" w:rsidRDefault="00F20A50" w:rsidP="00F20A50">
            <w:pPr>
              <w:pStyle w:val="ListParagraph"/>
              <w:numPr>
                <w:ilvl w:val="0"/>
                <w:numId w:val="52"/>
              </w:numPr>
              <w:spacing w:line="276" w:lineRule="auto"/>
              <w:rPr>
                <w:rFonts w:ascii="Calibri" w:eastAsia="Calibri" w:hAnsi="Calibri" w:cs="Calibri"/>
              </w:rPr>
            </w:pPr>
            <w:r w:rsidRPr="00F20A50">
              <w:rPr>
                <w:rFonts w:eastAsia="Calibri"/>
                <w:lang w:bidi="ta-IN"/>
              </w:rPr>
              <w:t>To understand the concepts and techniques of Production Management.</w:t>
            </w:r>
          </w:p>
          <w:p w14:paraId="5E86E7D8" w14:textId="6907CFAD" w:rsidR="00F20A50" w:rsidRPr="00F20A50" w:rsidRDefault="00F20A50" w:rsidP="00F20A50">
            <w:pPr>
              <w:pStyle w:val="ListParagraph"/>
              <w:numPr>
                <w:ilvl w:val="0"/>
                <w:numId w:val="52"/>
              </w:numPr>
              <w:spacing w:line="276" w:lineRule="auto"/>
              <w:rPr>
                <w:rFonts w:ascii="Calibri" w:eastAsia="Calibri" w:hAnsi="Calibri" w:cs="Calibri"/>
              </w:rPr>
            </w:pPr>
            <w:r w:rsidRPr="00F20A50">
              <w:rPr>
                <w:rFonts w:ascii="Times New Roman" w:hAnsi="Times New Roman" w:cs="Times New Roman"/>
                <w:sz w:val="24"/>
                <w:szCs w:val="24"/>
                <w:lang w:bidi="ta-IN"/>
              </w:rPr>
              <w:t xml:space="preserve">To use the above for improving the Operational Productivity of </w:t>
            </w:r>
            <w:proofErr w:type="spellStart"/>
            <w:r w:rsidRPr="00F20A50">
              <w:rPr>
                <w:rFonts w:ascii="Times New Roman" w:hAnsi="Times New Roman" w:cs="Times New Roman"/>
                <w:sz w:val="24"/>
                <w:szCs w:val="24"/>
                <w:lang w:bidi="ta-IN"/>
              </w:rPr>
              <w:t>Organisations</w:t>
            </w:r>
            <w:proofErr w:type="spellEnd"/>
          </w:p>
        </w:tc>
      </w:tr>
      <w:tr w:rsidR="00F20A50" w14:paraId="7B41E3A9" w14:textId="77777777" w:rsidTr="00FC6741">
        <w:tc>
          <w:tcPr>
            <w:tcW w:w="1413" w:type="dxa"/>
            <w:vAlign w:val="center"/>
          </w:tcPr>
          <w:p w14:paraId="5B51F39A" w14:textId="77777777" w:rsidR="00F20A50" w:rsidRPr="00FC6741" w:rsidRDefault="00F20A50" w:rsidP="00F20A50">
            <w:pPr>
              <w:jc w:val="center"/>
              <w:rPr>
                <w:rFonts w:ascii="Times New Roman" w:hAnsi="Times New Roman" w:cs="Times New Roman"/>
                <w:b/>
              </w:rPr>
            </w:pPr>
            <w:r w:rsidRPr="00FC6741">
              <w:rPr>
                <w:rFonts w:ascii="Times New Roman" w:hAnsi="Times New Roman" w:cs="Times New Roman"/>
                <w:b/>
              </w:rPr>
              <w:t xml:space="preserve">        13.</w:t>
            </w:r>
          </w:p>
        </w:tc>
        <w:tc>
          <w:tcPr>
            <w:tcW w:w="8945" w:type="dxa"/>
          </w:tcPr>
          <w:p w14:paraId="71FB3D06" w14:textId="321C73B4" w:rsidR="00F20A50" w:rsidRDefault="00F20A50" w:rsidP="00F20A50">
            <w:pPr>
              <w:jc w:val="both"/>
              <w:rPr>
                <w:rFonts w:ascii="Times New Roman" w:hAnsi="Times New Roman" w:cs="Times New Roman"/>
                <w:b/>
              </w:rPr>
            </w:pPr>
            <w:r w:rsidRPr="00D633F6">
              <w:rPr>
                <w:rFonts w:ascii="Times New Roman" w:hAnsi="Times New Roman" w:cs="Times New Roman"/>
                <w:b/>
              </w:rPr>
              <w:t>Course Requirement:</w:t>
            </w:r>
            <w:r>
              <w:rPr>
                <w:rFonts w:ascii="Times New Roman" w:hAnsi="Times New Roman" w:cs="Times New Roman"/>
                <w:b/>
              </w:rPr>
              <w:t xml:space="preserve"> Core Course</w:t>
            </w:r>
          </w:p>
          <w:p w14:paraId="4E610677" w14:textId="63DB2514" w:rsidR="00F20A50" w:rsidRPr="00CE0D64" w:rsidRDefault="00F72B68" w:rsidP="00F20A50">
            <w:pPr>
              <w:jc w:val="both"/>
              <w:rPr>
                <w:rFonts w:ascii="Times New Roman" w:hAnsi="Times New Roman" w:cs="Times New Roman"/>
              </w:rPr>
            </w:pPr>
            <w:r w:rsidRPr="00F72B68">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14:paraId="4022E4CC" w14:textId="77777777" w:rsidTr="000905DA">
        <w:tc>
          <w:tcPr>
            <w:tcW w:w="1413" w:type="dxa"/>
            <w:vAlign w:val="center"/>
          </w:tcPr>
          <w:p w14:paraId="29C7C1D5" w14:textId="77777777" w:rsidR="00F20A50" w:rsidRPr="00B91B20" w:rsidRDefault="00F20A50" w:rsidP="00F20A5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6343EE89" w14:textId="4986B8B1" w:rsidR="00F20A50" w:rsidRPr="00F72B68" w:rsidRDefault="00F20A50" w:rsidP="00F72B68">
            <w:pPr>
              <w:pBdr>
                <w:top w:val="nil"/>
                <w:left w:val="nil"/>
                <w:bottom w:val="nil"/>
                <w:right w:val="nil"/>
                <w:between w:val="nil"/>
              </w:pBdr>
              <w:jc w:val="both"/>
              <w:rPr>
                <w:rFonts w:ascii="Times New Roman" w:hAnsi="Times New Roman" w:cs="Times New Roman"/>
              </w:rPr>
            </w:pPr>
            <w:r w:rsidRPr="00F72B68">
              <w:rPr>
                <w:rFonts w:ascii="Times New Roman" w:hAnsi="Times New Roman" w:cs="Times New Roman"/>
                <w:b/>
              </w:rPr>
              <w:t>Teaching and Learning Method:</w:t>
            </w:r>
            <w:r w:rsidRPr="00F72B68">
              <w:rPr>
                <w:rFonts w:ascii="Cambria" w:eastAsia="Cambria" w:hAnsi="Cambria" w:cs="Arial"/>
              </w:rPr>
              <w:t xml:space="preserve"> </w:t>
            </w:r>
            <w:r w:rsidR="00F72B68" w:rsidRPr="00F72B68">
              <w:rPr>
                <w:rFonts w:ascii="Cambria" w:eastAsia="Cambria" w:hAnsi="Cambria" w:cs="Arial"/>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14:paraId="719A29FF" w14:textId="77777777" w:rsidTr="000905DA">
        <w:tc>
          <w:tcPr>
            <w:tcW w:w="1413" w:type="dxa"/>
            <w:vAlign w:val="center"/>
          </w:tcPr>
          <w:p w14:paraId="15B03696" w14:textId="77777777" w:rsidR="00F20A50" w:rsidRDefault="00F20A50" w:rsidP="00F20A5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F20A50" w:rsidRDefault="00F20A50" w:rsidP="00F20A50">
            <w:pPr>
              <w:jc w:val="both"/>
              <w:rPr>
                <w:rFonts w:ascii="Times New Roman" w:hAnsi="Times New Roman" w:cs="Times New Roman"/>
                <w:b/>
              </w:rPr>
            </w:pPr>
            <w:r>
              <w:rPr>
                <w:rFonts w:ascii="Times New Roman" w:hAnsi="Times New Roman" w:cs="Times New Roman"/>
                <w:b/>
              </w:rPr>
              <w:t>Assessment Scheme:</w:t>
            </w:r>
          </w:p>
          <w:p w14:paraId="508663EE" w14:textId="5DEF91F2" w:rsidR="00F20A50" w:rsidRPr="00B352FA" w:rsidRDefault="00F20A50" w:rsidP="00F20A50">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F20A50" w:rsidRPr="00B352FA" w:rsidRDefault="00F20A50" w:rsidP="00F20A50">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F20A50" w:rsidRPr="00361196" w:rsidRDefault="00F20A50" w:rsidP="00F20A50">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F20A50" w14:paraId="1F86CDBC" w14:textId="77777777" w:rsidTr="000905DA">
        <w:tc>
          <w:tcPr>
            <w:tcW w:w="1413" w:type="dxa"/>
            <w:vAlign w:val="center"/>
          </w:tcPr>
          <w:p w14:paraId="424A1FF6" w14:textId="77777777" w:rsidR="00F20A50" w:rsidRDefault="00F20A50" w:rsidP="00F20A5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F20A50" w:rsidRDefault="00F20A50" w:rsidP="00F20A50">
            <w:pPr>
              <w:jc w:val="both"/>
              <w:rPr>
                <w:rFonts w:ascii="Times New Roman" w:hAnsi="Times New Roman" w:cs="Times New Roman"/>
                <w:b/>
              </w:rPr>
            </w:pPr>
            <w:r w:rsidRPr="00A562EA">
              <w:rPr>
                <w:rFonts w:ascii="Times New Roman" w:hAnsi="Times New Roman" w:cs="Times New Roman"/>
                <w:b/>
              </w:rPr>
              <w:t>Students Learning Outcome:</w:t>
            </w:r>
          </w:p>
          <w:p w14:paraId="5C6DDEED" w14:textId="77777777" w:rsidR="00F72B68" w:rsidRPr="00F72B68" w:rsidRDefault="00F72B68" w:rsidP="00F72B68">
            <w:pPr>
              <w:rPr>
                <w:rFonts w:ascii="Times New Roman" w:hAnsi="Times New Roman" w:cs="Times New Roman"/>
              </w:rPr>
            </w:pPr>
            <w:r w:rsidRPr="00F72B68">
              <w:rPr>
                <w:rFonts w:ascii="Times New Roman" w:hAnsi="Times New Roman" w:cs="Times New Roman"/>
              </w:rPr>
              <w:t>By the end of the course, students should be able to:</w:t>
            </w:r>
          </w:p>
          <w:p w14:paraId="7E0E202E"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Review the heritage of operations management and define it.</w:t>
            </w:r>
          </w:p>
          <w:p w14:paraId="7EF58F1A"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Understand the Material Handling Systems</w:t>
            </w:r>
          </w:p>
          <w:p w14:paraId="2D7FC52B"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Determine the purpose of product design</w:t>
            </w:r>
          </w:p>
          <w:p w14:paraId="19BBCBAE"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Be able to use the Scheduling</w:t>
            </w:r>
          </w:p>
          <w:p w14:paraId="54818982"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 xml:space="preserve">Be able to exercise Plant Layout and Materials Handling System </w:t>
            </w:r>
          </w:p>
          <w:p w14:paraId="08851C04" w14:textId="77777777" w:rsidR="00F72B68" w:rsidRPr="00F72B68" w:rsidRDefault="00F72B68" w:rsidP="00F72B68">
            <w:pPr>
              <w:pStyle w:val="ListParagraph"/>
              <w:numPr>
                <w:ilvl w:val="0"/>
                <w:numId w:val="53"/>
              </w:numPr>
              <w:rPr>
                <w:rFonts w:ascii="Times New Roman" w:hAnsi="Times New Roman" w:cs="Times New Roman"/>
              </w:rPr>
            </w:pPr>
            <w:r w:rsidRPr="00F72B68">
              <w:rPr>
                <w:rFonts w:ascii="Times New Roman" w:hAnsi="Times New Roman" w:cs="Times New Roman"/>
              </w:rPr>
              <w:t>Identify and explain Aggregate Planning Decisions</w:t>
            </w:r>
          </w:p>
          <w:p w14:paraId="7C04759E" w14:textId="75908C7B" w:rsidR="00F20A50" w:rsidRPr="00F72B68" w:rsidRDefault="00F72B68" w:rsidP="00F72B68">
            <w:pPr>
              <w:pStyle w:val="ListParagraph"/>
              <w:numPr>
                <w:ilvl w:val="0"/>
                <w:numId w:val="53"/>
              </w:numPr>
              <w:jc w:val="both"/>
              <w:rPr>
                <w:rFonts w:ascii="Times New Roman" w:hAnsi="Times New Roman" w:cs="Times New Roman"/>
              </w:rPr>
            </w:pPr>
            <w:r w:rsidRPr="00F72B68">
              <w:rPr>
                <w:rFonts w:ascii="Times New Roman" w:hAnsi="Times New Roman" w:cs="Times New Roman"/>
              </w:rPr>
              <w:t>Be able to use Modern Production Management Tools</w:t>
            </w:r>
          </w:p>
          <w:p w14:paraId="4221A369" w14:textId="221D6F1C" w:rsidR="00F20A50" w:rsidRPr="004147C8" w:rsidRDefault="00F20A50" w:rsidP="00F20A50">
            <w:pPr>
              <w:pStyle w:val="ListParagraph"/>
              <w:pBdr>
                <w:top w:val="nil"/>
                <w:left w:val="nil"/>
                <w:bottom w:val="nil"/>
                <w:right w:val="nil"/>
                <w:between w:val="nil"/>
              </w:pBdr>
              <w:jc w:val="both"/>
              <w:rPr>
                <w:rFonts w:ascii="Times New Roman" w:hAnsi="Times New Roman" w:cs="Times New Roman"/>
              </w:rPr>
            </w:pPr>
          </w:p>
        </w:tc>
      </w:tr>
      <w:tr w:rsidR="00F20A50" w14:paraId="19A37620" w14:textId="77777777" w:rsidTr="000905DA">
        <w:tc>
          <w:tcPr>
            <w:tcW w:w="1413" w:type="dxa"/>
            <w:vAlign w:val="center"/>
          </w:tcPr>
          <w:p w14:paraId="118F6FEE" w14:textId="77777777" w:rsidR="00F20A50" w:rsidRDefault="00F20A50" w:rsidP="00F20A5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46C5ADA4" w14:textId="77777777" w:rsidR="00F20A50" w:rsidRPr="004147C8" w:rsidRDefault="00F20A50" w:rsidP="00F20A50">
            <w:pPr>
              <w:jc w:val="both"/>
              <w:rPr>
                <w:rFonts w:ascii="Times New Roman" w:hAnsi="Times New Roman" w:cs="Times New Roman"/>
                <w:b/>
              </w:rPr>
            </w:pPr>
            <w:r w:rsidRPr="004147C8">
              <w:rPr>
                <w:rFonts w:ascii="Times New Roman" w:hAnsi="Times New Roman" w:cs="Times New Roman"/>
                <w:b/>
              </w:rPr>
              <w:t>Course Reading List and References</w:t>
            </w:r>
          </w:p>
          <w:p w14:paraId="79C38FDF" w14:textId="77777777" w:rsidR="00F20A50" w:rsidRDefault="00F20A50" w:rsidP="00F20A50">
            <w:pPr>
              <w:ind w:left="185"/>
            </w:pPr>
            <w:r>
              <w:t>Course Reading List and References:</w:t>
            </w:r>
          </w:p>
          <w:p w14:paraId="19195069" w14:textId="77777777" w:rsidR="00F72B68" w:rsidRDefault="00F72B68" w:rsidP="00F72B68">
            <w:pPr>
              <w:pStyle w:val="ListParagraph"/>
              <w:numPr>
                <w:ilvl w:val="0"/>
                <w:numId w:val="48"/>
              </w:numPr>
            </w:pPr>
            <w:r>
              <w:t>Joseph G. Monks: OPERATIONS MANAGEMENT – THEORY AND PROBLEMS, McGraw Hill.</w:t>
            </w:r>
          </w:p>
          <w:p w14:paraId="7B2E88AF" w14:textId="77777777" w:rsidR="00F72B68" w:rsidRDefault="00F72B68" w:rsidP="00F72B68">
            <w:pPr>
              <w:pStyle w:val="ListParagraph"/>
              <w:numPr>
                <w:ilvl w:val="0"/>
                <w:numId w:val="48"/>
              </w:numPr>
            </w:pPr>
            <w:proofErr w:type="spellStart"/>
            <w:r>
              <w:t>Panneerselvam</w:t>
            </w:r>
            <w:proofErr w:type="spellEnd"/>
            <w:r>
              <w:t>, R., PRODUCTION AND OPERATIONS MANAGEMENT, Second Edition PHI Learning Pvt. Ltd., New-Delhi, 2005</w:t>
            </w:r>
          </w:p>
          <w:p w14:paraId="433E98C9" w14:textId="77777777" w:rsidR="00F72B68" w:rsidRDefault="00F72B68" w:rsidP="00F72B68">
            <w:pPr>
              <w:pStyle w:val="ListParagraph"/>
              <w:numPr>
                <w:ilvl w:val="0"/>
                <w:numId w:val="48"/>
              </w:numPr>
            </w:pPr>
            <w:r>
              <w:t xml:space="preserve">Everett E. Adam &amp; Ronald J. Ebert: PRODUCTION AND OPERATIONS MANAGEMENT, Prentice Hall, 1994. </w:t>
            </w:r>
          </w:p>
          <w:p w14:paraId="5378308F" w14:textId="77777777" w:rsidR="00F72B68" w:rsidRDefault="00F72B68" w:rsidP="00F72B68">
            <w:pPr>
              <w:pStyle w:val="ListParagraph"/>
              <w:numPr>
                <w:ilvl w:val="0"/>
                <w:numId w:val="48"/>
              </w:numPr>
            </w:pPr>
            <w:r>
              <w:t>William J. Stevenson: PRODUCTION/OPERATIONS MANAGEMENT, Richard Irwin.</w:t>
            </w:r>
          </w:p>
          <w:p w14:paraId="44EBBA1C" w14:textId="77777777" w:rsidR="00F72B68" w:rsidRDefault="00F72B68" w:rsidP="00F72B68">
            <w:pPr>
              <w:pStyle w:val="ListParagraph"/>
              <w:numPr>
                <w:ilvl w:val="0"/>
                <w:numId w:val="48"/>
              </w:numPr>
            </w:pPr>
            <w:r>
              <w:t>Norman Gaither: PRODUCTION AND OPERATIONS MANAGEMENT, The Dryden Press.</w:t>
            </w:r>
          </w:p>
          <w:p w14:paraId="224FAE0C" w14:textId="77777777" w:rsidR="00F72B68" w:rsidRDefault="00F72B68" w:rsidP="00F72B68">
            <w:pPr>
              <w:pStyle w:val="ListParagraph"/>
              <w:numPr>
                <w:ilvl w:val="0"/>
                <w:numId w:val="48"/>
              </w:numPr>
            </w:pPr>
            <w:r>
              <w:t>Jack R. Meredith, THE MANAGEMENT OF OPERATION, John Wiley &amp; Sons.</w:t>
            </w:r>
          </w:p>
          <w:p w14:paraId="65D4CF15" w14:textId="77777777" w:rsidR="00F72B68" w:rsidRDefault="00F72B68" w:rsidP="00F72B68">
            <w:pPr>
              <w:pStyle w:val="ListParagraph"/>
              <w:numPr>
                <w:ilvl w:val="0"/>
                <w:numId w:val="48"/>
              </w:numPr>
            </w:pPr>
            <w:r>
              <w:t>S.N. Chary, PRODUCTION AND OPERATIONS MANAGEMENT, Tata McGraw Hill.</w:t>
            </w:r>
          </w:p>
          <w:p w14:paraId="28A33E8D" w14:textId="65633CB7" w:rsidR="00F20A50" w:rsidRPr="00F72B68" w:rsidRDefault="00F72B68" w:rsidP="00F72B68">
            <w:pPr>
              <w:pStyle w:val="ListParagraph"/>
              <w:numPr>
                <w:ilvl w:val="0"/>
                <w:numId w:val="48"/>
              </w:numPr>
            </w:pPr>
            <w:r>
              <w:t>Jay Heizer &amp; Barry Render: OPERATIONS MANAGEMENT, Prentice Hall International, Inc. 2001, International Edition.</w:t>
            </w:r>
            <w:r w:rsidR="00F20A50" w:rsidRPr="00F72B68">
              <w:rPr>
                <w:rFonts w:ascii="Times New Roman" w:hAnsi="Times New Roman" w:cs="Times New Roman"/>
              </w:rPr>
              <w:t xml:space="preserve"> </w:t>
            </w:r>
          </w:p>
        </w:tc>
      </w:tr>
      <w:tr w:rsidR="00F20A50" w14:paraId="51DD834F" w14:textId="77777777" w:rsidTr="00C702F8">
        <w:trPr>
          <w:trHeight w:val="601"/>
        </w:trPr>
        <w:tc>
          <w:tcPr>
            <w:tcW w:w="1413" w:type="dxa"/>
            <w:vAlign w:val="center"/>
          </w:tcPr>
          <w:p w14:paraId="2EF7675E" w14:textId="77777777" w:rsidR="00F20A50" w:rsidRDefault="00F20A50" w:rsidP="00F20A5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F20A50" w:rsidRPr="00F67A48" w:rsidRDefault="00F20A50" w:rsidP="00F20A50">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7244741" w14:textId="77777777" w:rsidR="0079605A" w:rsidRDefault="0079605A" w:rsidP="00CC3314">
      <w:pPr>
        <w:jc w:val="both"/>
        <w:rPr>
          <w:rFonts w:ascii="Times New Roman" w:hAnsi="Times New Roman" w:cs="Times New Roman"/>
        </w:rPr>
      </w:pPr>
    </w:p>
    <w:p w14:paraId="47D502A2" w14:textId="77777777" w:rsidR="0079605A" w:rsidRDefault="0079605A" w:rsidP="00CC3314">
      <w:pPr>
        <w:jc w:val="both"/>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lastRenderedPageBreak/>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C702F8">
        <w:trPr>
          <w:trHeight w:val="585"/>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71BC77B8" w14:textId="77777777" w:rsidR="00F72B68" w:rsidRPr="005C2E97" w:rsidRDefault="00F72B68" w:rsidP="00F72B68">
            <w:r w:rsidRPr="005C2E97">
              <w:t>Nature of Aggregate Planning Decisions</w:t>
            </w:r>
          </w:p>
          <w:p w14:paraId="6436FCB2" w14:textId="6649C50D" w:rsidR="00C702F8" w:rsidRDefault="00F72B68" w:rsidP="00F72B68">
            <w:pPr>
              <w:tabs>
                <w:tab w:val="left" w:pos="921"/>
              </w:tabs>
              <w:rPr>
                <w:rFonts w:ascii="Times New Roman" w:hAnsi="Times New Roman" w:cs="Times New Roman"/>
              </w:rPr>
            </w:pPr>
            <w:r w:rsidRPr="005C2E97">
              <w:t>Aggregate Planning Strategies</w:t>
            </w:r>
          </w:p>
        </w:tc>
      </w:tr>
      <w:tr w:rsidR="0091368E" w14:paraId="342174FE" w14:textId="77777777" w:rsidTr="00C702F8">
        <w:trPr>
          <w:trHeight w:val="585"/>
        </w:trPr>
        <w:tc>
          <w:tcPr>
            <w:tcW w:w="1416" w:type="dxa"/>
            <w:vAlign w:val="center"/>
          </w:tcPr>
          <w:p w14:paraId="21F96C24" w14:textId="77777777" w:rsidR="0091368E" w:rsidRDefault="0091368E" w:rsidP="0091368E">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91368E" w:rsidRDefault="00F818B7" w:rsidP="0091368E">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91368E" w:rsidRDefault="005D1EF7" w:rsidP="0091368E">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5D9127C" w14:textId="77777777" w:rsidR="00F72B68" w:rsidRPr="005C2E97" w:rsidRDefault="00F72B68" w:rsidP="00F72B68">
            <w:pPr>
              <w:rPr>
                <w:lang w:val="en-IN"/>
              </w:rPr>
            </w:pPr>
            <w:r w:rsidRPr="005C2E97">
              <w:t xml:space="preserve">Aggregate Planning Methods </w:t>
            </w:r>
          </w:p>
          <w:p w14:paraId="2CAAEBB6" w14:textId="73A6CE53" w:rsidR="0091368E" w:rsidRDefault="00F72B68" w:rsidP="00F72B68">
            <w:pPr>
              <w:tabs>
                <w:tab w:val="left" w:pos="921"/>
              </w:tabs>
              <w:rPr>
                <w:rFonts w:ascii="Times New Roman" w:hAnsi="Times New Roman" w:cs="Times New Roman"/>
              </w:rPr>
            </w:pPr>
            <w:r w:rsidRPr="005C2E97">
              <w:t>Material Requirement Planning</w:t>
            </w:r>
          </w:p>
        </w:tc>
      </w:tr>
      <w:tr w:rsidR="0091368E" w14:paraId="1F721FA3" w14:textId="77777777" w:rsidTr="00C702F8">
        <w:trPr>
          <w:trHeight w:val="585"/>
        </w:trPr>
        <w:tc>
          <w:tcPr>
            <w:tcW w:w="1416" w:type="dxa"/>
            <w:vAlign w:val="center"/>
          </w:tcPr>
          <w:p w14:paraId="0291FFE1" w14:textId="77777777" w:rsidR="0091368E" w:rsidRDefault="0091368E" w:rsidP="0091368E">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91368E" w:rsidRDefault="00F818B7" w:rsidP="0091368E">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91368E" w:rsidRDefault="005D1EF7" w:rsidP="0091368E">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1F407882" w14:textId="77777777" w:rsidR="00F72B68" w:rsidRPr="005C2E97" w:rsidRDefault="00F72B68" w:rsidP="00F72B68">
            <w:pPr>
              <w:pStyle w:val="NoSpacing"/>
              <w:rPr>
                <w:rFonts w:asciiTheme="majorBidi" w:hAnsiTheme="majorBidi" w:cstheme="majorBidi"/>
              </w:rPr>
            </w:pPr>
            <w:r w:rsidRPr="005C2E97">
              <w:rPr>
                <w:rFonts w:asciiTheme="majorBidi" w:hAnsiTheme="majorBidi" w:cstheme="majorBidi"/>
              </w:rPr>
              <w:t xml:space="preserve">Single Machine Scheduling </w:t>
            </w:r>
          </w:p>
          <w:p w14:paraId="075BC788" w14:textId="77777777" w:rsidR="00F72B68" w:rsidRPr="005C2E97" w:rsidRDefault="00F72B68" w:rsidP="00F72B68">
            <w:pPr>
              <w:pStyle w:val="NoSpacing"/>
              <w:rPr>
                <w:rFonts w:asciiTheme="majorBidi" w:hAnsiTheme="majorBidi" w:cstheme="majorBidi"/>
              </w:rPr>
            </w:pPr>
            <w:r w:rsidRPr="005C2E97">
              <w:rPr>
                <w:rFonts w:asciiTheme="majorBidi" w:hAnsiTheme="majorBidi" w:cstheme="majorBidi"/>
              </w:rPr>
              <w:t xml:space="preserve">Types of Scheduling, </w:t>
            </w:r>
          </w:p>
          <w:p w14:paraId="0951BAA6" w14:textId="670257A3" w:rsidR="0091368E" w:rsidRPr="00B352FA" w:rsidRDefault="00F72B68" w:rsidP="00F72B68">
            <w:pPr>
              <w:tabs>
                <w:tab w:val="left" w:pos="921"/>
              </w:tabs>
              <w:rPr>
                <w:rFonts w:ascii="Times New Roman" w:hAnsi="Times New Roman" w:cs="Times New Roman"/>
                <w:bCs/>
              </w:rPr>
            </w:pPr>
            <w:r w:rsidRPr="005C2E97">
              <w:rPr>
                <w:rFonts w:asciiTheme="majorBidi" w:hAnsiTheme="majorBidi" w:cstheme="majorBidi"/>
              </w:rPr>
              <w:t>Concept of Single Machine Scheduling,</w:t>
            </w:r>
          </w:p>
        </w:tc>
      </w:tr>
      <w:tr w:rsidR="00F72B68" w14:paraId="013CCABA" w14:textId="77777777" w:rsidTr="00C702F8">
        <w:trPr>
          <w:trHeight w:val="584"/>
        </w:trPr>
        <w:tc>
          <w:tcPr>
            <w:tcW w:w="1416" w:type="dxa"/>
            <w:vAlign w:val="center"/>
          </w:tcPr>
          <w:p w14:paraId="783485EE"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4.</w:t>
            </w:r>
          </w:p>
        </w:tc>
        <w:tc>
          <w:tcPr>
            <w:tcW w:w="1548" w:type="dxa"/>
          </w:tcPr>
          <w:p w14:paraId="1202F3E0" w14:textId="0A548459" w:rsidR="00F72B68" w:rsidRDefault="00F72B68" w:rsidP="00F72B68">
            <w:pPr>
              <w:tabs>
                <w:tab w:val="left" w:pos="921"/>
              </w:tabs>
              <w:spacing w:before="240"/>
              <w:jc w:val="center"/>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2306627" w14:textId="77777777" w:rsidR="00F72B68" w:rsidRPr="005C2E97" w:rsidRDefault="00F72B68" w:rsidP="00F72B68">
            <w:r w:rsidRPr="005C2E97">
              <w:t>Work Study</w:t>
            </w:r>
          </w:p>
          <w:p w14:paraId="75CBD3DC" w14:textId="77777777" w:rsidR="00F72B68" w:rsidRPr="005C2E97" w:rsidRDefault="00F72B68" w:rsidP="00F72B68">
            <w:r w:rsidRPr="005C2E97">
              <w:t xml:space="preserve">Method Study </w:t>
            </w:r>
          </w:p>
          <w:p w14:paraId="77368297" w14:textId="278B9C21" w:rsidR="00F72B68" w:rsidRPr="0064522A" w:rsidRDefault="00F72B68" w:rsidP="00F72B68">
            <w:pPr>
              <w:tabs>
                <w:tab w:val="left" w:pos="921"/>
              </w:tabs>
              <w:rPr>
                <w:rFonts w:ascii="Times New Roman" w:hAnsi="Times New Roman" w:cs="Times New Roman"/>
              </w:rPr>
            </w:pPr>
            <w:r w:rsidRPr="005C2E97">
              <w:t xml:space="preserve">Steps in Method Study </w:t>
            </w:r>
          </w:p>
        </w:tc>
      </w:tr>
    </w:tbl>
    <w:p w14:paraId="0F94525D" w14:textId="77777777" w:rsidR="00057988"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F72B68" w14:paraId="7C1133BF" w14:textId="77777777" w:rsidTr="00024F89">
        <w:trPr>
          <w:trHeight w:val="632"/>
        </w:trPr>
        <w:tc>
          <w:tcPr>
            <w:tcW w:w="1423" w:type="dxa"/>
            <w:vAlign w:val="center"/>
          </w:tcPr>
          <w:p w14:paraId="48286415"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5.</w:t>
            </w:r>
          </w:p>
        </w:tc>
        <w:tc>
          <w:tcPr>
            <w:tcW w:w="1555" w:type="dxa"/>
          </w:tcPr>
          <w:p w14:paraId="509454DA" w14:textId="506D4CDC" w:rsidR="00F72B68" w:rsidRDefault="00F72B68" w:rsidP="00F72B68">
            <w:pPr>
              <w:tabs>
                <w:tab w:val="left" w:pos="921"/>
              </w:tabs>
              <w:spacing w:before="240"/>
              <w:jc w:val="center"/>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1C9E5E5B" w14:textId="77777777" w:rsidR="00F72B68" w:rsidRPr="005C2E97" w:rsidRDefault="00F72B68" w:rsidP="00F72B68">
            <w:r w:rsidRPr="005C2E97">
              <w:t xml:space="preserve">Principles of Motion Economy </w:t>
            </w:r>
          </w:p>
          <w:p w14:paraId="029677AB" w14:textId="77777777" w:rsidR="00F72B68" w:rsidRPr="005C2E97" w:rsidRDefault="00F72B68" w:rsidP="00F72B68">
            <w:r w:rsidRPr="005C2E97">
              <w:t>Time Study</w:t>
            </w:r>
          </w:p>
          <w:p w14:paraId="61798DD9" w14:textId="77777777" w:rsidR="00F72B68" w:rsidRPr="005C2E97" w:rsidRDefault="00F72B68" w:rsidP="00F72B68">
            <w:r w:rsidRPr="005C2E97">
              <w:t>Quality Control</w:t>
            </w:r>
          </w:p>
          <w:p w14:paraId="3286E523" w14:textId="0F43968E" w:rsidR="00F72B68" w:rsidRPr="0064522A" w:rsidRDefault="00F72B68" w:rsidP="00F72B68">
            <w:pPr>
              <w:tabs>
                <w:tab w:val="left" w:pos="921"/>
              </w:tabs>
              <w:rPr>
                <w:b/>
              </w:rPr>
            </w:pPr>
            <w:r w:rsidRPr="005C2E97">
              <w:t xml:space="preserve"> Need for Controlling Quality</w:t>
            </w:r>
          </w:p>
        </w:tc>
      </w:tr>
      <w:tr w:rsidR="00F72B68" w14:paraId="2EF397E5" w14:textId="77777777" w:rsidTr="00024F89">
        <w:trPr>
          <w:trHeight w:val="632"/>
        </w:trPr>
        <w:tc>
          <w:tcPr>
            <w:tcW w:w="1423" w:type="dxa"/>
            <w:vAlign w:val="center"/>
          </w:tcPr>
          <w:p w14:paraId="3AFB23E4"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6.</w:t>
            </w:r>
          </w:p>
        </w:tc>
        <w:tc>
          <w:tcPr>
            <w:tcW w:w="1555" w:type="dxa"/>
          </w:tcPr>
          <w:p w14:paraId="4F9CC542" w14:textId="53E3F673" w:rsidR="00F72B68" w:rsidRDefault="00F72B68" w:rsidP="00F72B68">
            <w:pPr>
              <w:tabs>
                <w:tab w:val="left" w:pos="921"/>
              </w:tabs>
              <w:spacing w:before="240"/>
              <w:jc w:val="center"/>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10B9DB5B" w14:textId="77777777" w:rsidR="00F72B68" w:rsidRPr="005C2E97" w:rsidRDefault="00F72B68" w:rsidP="00F72B68">
            <w:r w:rsidRPr="005C2E97">
              <w:t>Plant Location</w:t>
            </w:r>
          </w:p>
          <w:p w14:paraId="0D3B1725" w14:textId="1A1E09ED" w:rsidR="00F72B68" w:rsidRDefault="00F72B68" w:rsidP="00F72B68">
            <w:pPr>
              <w:tabs>
                <w:tab w:val="left" w:pos="921"/>
              </w:tabs>
              <w:rPr>
                <w:rFonts w:ascii="Times New Roman" w:hAnsi="Times New Roman" w:cs="Times New Roman"/>
              </w:rPr>
            </w:pPr>
            <w:r w:rsidRPr="005C2E97">
              <w:t>Reasons for Plant Location Study</w:t>
            </w:r>
            <w:r>
              <w:rPr>
                <w:rFonts w:ascii="Times New Roman" w:hAnsi="Times New Roman" w:cs="Times New Roman"/>
              </w:rPr>
              <w:t xml:space="preserve"> </w:t>
            </w:r>
          </w:p>
        </w:tc>
      </w:tr>
      <w:tr w:rsidR="00F72B68" w14:paraId="5FDAF916" w14:textId="77777777" w:rsidTr="0064522A">
        <w:trPr>
          <w:trHeight w:val="632"/>
        </w:trPr>
        <w:tc>
          <w:tcPr>
            <w:tcW w:w="1423" w:type="dxa"/>
            <w:vAlign w:val="center"/>
          </w:tcPr>
          <w:p w14:paraId="52170189"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F72B68" w:rsidRDefault="00F72B68" w:rsidP="00F72B68">
            <w:pPr>
              <w:tabs>
                <w:tab w:val="left" w:pos="921"/>
              </w:tabs>
              <w:spacing w:before="240"/>
              <w:jc w:val="center"/>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3869670E" w14:textId="77777777" w:rsidR="00F72B68" w:rsidRPr="005C2E97" w:rsidRDefault="00F72B68" w:rsidP="00F72B68">
            <w:pPr>
              <w:rPr>
                <w:lang w:val="en-IN"/>
              </w:rPr>
            </w:pPr>
            <w:r w:rsidRPr="005C2E97">
              <w:t>Plant Layout and Materials Handling</w:t>
            </w:r>
          </w:p>
          <w:p w14:paraId="000BCD98" w14:textId="1D6272BF" w:rsidR="00F72B68" w:rsidRDefault="00F72B68" w:rsidP="00F72B68">
            <w:pPr>
              <w:tabs>
                <w:tab w:val="left" w:pos="921"/>
              </w:tabs>
              <w:rPr>
                <w:rFonts w:ascii="Times New Roman" w:hAnsi="Times New Roman" w:cs="Times New Roman"/>
              </w:rPr>
            </w:pPr>
            <w:r w:rsidRPr="005C2E97">
              <w:t>Material Handling Systems</w:t>
            </w:r>
            <w:r>
              <w:rPr>
                <w:rFonts w:ascii="Times New Roman" w:hAnsi="Times New Roman" w:cs="Times New Roman"/>
              </w:rPr>
              <w:t xml:space="preserve"> </w:t>
            </w:r>
          </w:p>
        </w:tc>
      </w:tr>
      <w:tr w:rsidR="00F72B68" w14:paraId="5E4C88DA" w14:textId="77777777" w:rsidTr="0064522A">
        <w:trPr>
          <w:trHeight w:val="632"/>
        </w:trPr>
        <w:tc>
          <w:tcPr>
            <w:tcW w:w="1423" w:type="dxa"/>
            <w:vAlign w:val="center"/>
          </w:tcPr>
          <w:p w14:paraId="6E92BC06"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3CB09B8F" w14:textId="36C3FC5A" w:rsidR="00F72B68" w:rsidRDefault="00F72B68" w:rsidP="00F72B68">
            <w:pPr>
              <w:tabs>
                <w:tab w:val="left" w:pos="921"/>
              </w:tabs>
              <w:rPr>
                <w:rFonts w:ascii="Times New Roman" w:hAnsi="Times New Roman" w:cs="Times New Roman"/>
              </w:rPr>
            </w:pPr>
            <w:r w:rsidRPr="005C2E97">
              <w:rPr>
                <w:b/>
                <w:bCs/>
                <w:lang w:val="en-IN"/>
              </w:rPr>
              <w:t>Mid Term Exam</w:t>
            </w:r>
            <w:r>
              <w:rPr>
                <w:rFonts w:ascii="Times New Roman" w:hAnsi="Times New Roman" w:cs="Times New Roman"/>
              </w:rPr>
              <w:t xml:space="preserve"> </w:t>
            </w:r>
          </w:p>
        </w:tc>
      </w:tr>
      <w:tr w:rsidR="00F72B68" w14:paraId="15FF496B" w14:textId="77777777" w:rsidTr="0064522A">
        <w:trPr>
          <w:trHeight w:val="632"/>
        </w:trPr>
        <w:tc>
          <w:tcPr>
            <w:tcW w:w="1423" w:type="dxa"/>
            <w:vAlign w:val="center"/>
          </w:tcPr>
          <w:p w14:paraId="392AED1C"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F72B68" w:rsidRPr="003539C9" w:rsidRDefault="00F72B68" w:rsidP="00F72B68">
            <w:pPr>
              <w:tabs>
                <w:tab w:val="left" w:pos="921"/>
              </w:tabs>
              <w:jc w:val="center"/>
            </w:pPr>
            <w:r>
              <w:rPr>
                <w:rFonts w:ascii="Times New Roman" w:hAnsi="Times New Roman" w:cs="Times New Roman"/>
              </w:rPr>
              <w:t>Week 9</w:t>
            </w:r>
          </w:p>
        </w:tc>
        <w:tc>
          <w:tcPr>
            <w:tcW w:w="853" w:type="dxa"/>
            <w:vAlign w:val="center"/>
          </w:tcPr>
          <w:p w14:paraId="5E85B7D4" w14:textId="06C140C2"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216FFE82" w14:textId="77777777" w:rsidR="00F72B68" w:rsidRPr="005C2E97" w:rsidRDefault="00F72B68" w:rsidP="00F72B68">
            <w:r w:rsidRPr="005C2E97">
              <w:t>Inventory</w:t>
            </w:r>
          </w:p>
          <w:p w14:paraId="4AEA34FA" w14:textId="2E6E8B92" w:rsidR="00F72B68" w:rsidRPr="0064522A" w:rsidRDefault="00F72B68" w:rsidP="00F72B68">
            <w:pPr>
              <w:tabs>
                <w:tab w:val="left" w:pos="921"/>
              </w:tabs>
              <w:rPr>
                <w:rFonts w:ascii="Times New Roman" w:hAnsi="Times New Roman" w:cs="Times New Roman"/>
              </w:rPr>
            </w:pPr>
            <w:r w:rsidRPr="005C2E97">
              <w:t>Maintenance</w:t>
            </w:r>
            <w:r w:rsidRPr="0064522A">
              <w:rPr>
                <w:rFonts w:ascii="Times New Roman" w:hAnsi="Times New Roman" w:cs="Times New Roman"/>
              </w:rPr>
              <w:t xml:space="preserve"> </w:t>
            </w:r>
          </w:p>
        </w:tc>
      </w:tr>
      <w:tr w:rsidR="00F72B68" w14:paraId="0C5FEA34" w14:textId="77777777" w:rsidTr="0064522A">
        <w:trPr>
          <w:trHeight w:val="632"/>
        </w:trPr>
        <w:tc>
          <w:tcPr>
            <w:tcW w:w="1423" w:type="dxa"/>
            <w:vAlign w:val="center"/>
          </w:tcPr>
          <w:p w14:paraId="7DB0453D"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60FF8B27" w14:textId="77777777" w:rsidR="00F72B68" w:rsidRPr="005C2E97" w:rsidRDefault="00F72B68" w:rsidP="00F72B68">
            <w:pPr>
              <w:rPr>
                <w:lang w:val="en-IN"/>
              </w:rPr>
            </w:pPr>
            <w:r w:rsidRPr="005C2E97">
              <w:t xml:space="preserve">Maintenance Planning </w:t>
            </w:r>
            <w:proofErr w:type="gramStart"/>
            <w:r w:rsidRPr="005C2E97">
              <w:t>And</w:t>
            </w:r>
            <w:proofErr w:type="gramEnd"/>
            <w:r w:rsidRPr="005C2E97">
              <w:t xml:space="preserve"> Control</w:t>
            </w:r>
          </w:p>
          <w:p w14:paraId="318D14B3" w14:textId="3ED03823" w:rsidR="00F72B68" w:rsidRPr="004550CA" w:rsidRDefault="00F72B68" w:rsidP="00F72B68">
            <w:pPr>
              <w:tabs>
                <w:tab w:val="left" w:pos="921"/>
              </w:tabs>
            </w:pPr>
            <w:r w:rsidRPr="005C2E97">
              <w:t>Types of Maintenance</w:t>
            </w:r>
            <w:r w:rsidRPr="004550CA">
              <w:t xml:space="preserve"> </w:t>
            </w:r>
          </w:p>
        </w:tc>
      </w:tr>
      <w:tr w:rsidR="00F72B68" w14:paraId="3067B7DB" w14:textId="77777777" w:rsidTr="0064522A">
        <w:trPr>
          <w:trHeight w:val="632"/>
        </w:trPr>
        <w:tc>
          <w:tcPr>
            <w:tcW w:w="1423" w:type="dxa"/>
            <w:vAlign w:val="center"/>
          </w:tcPr>
          <w:p w14:paraId="56A871D4"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35BDD172" w14:textId="77777777" w:rsidR="00F72B68" w:rsidRPr="005C2E97" w:rsidRDefault="00F72B68" w:rsidP="00F72B68">
            <w:pPr>
              <w:rPr>
                <w:lang w:val="en-IN"/>
              </w:rPr>
            </w:pPr>
            <w:r w:rsidRPr="005C2E97">
              <w:t>Just-In-Time (JIT) Manufacturing</w:t>
            </w:r>
          </w:p>
          <w:p w14:paraId="61666619" w14:textId="278AA088" w:rsidR="00F72B68" w:rsidRDefault="00F72B68" w:rsidP="00F72B68">
            <w:r w:rsidRPr="005C2E97">
              <w:t>Kanban</w:t>
            </w:r>
            <w:r>
              <w:t xml:space="preserve"> </w:t>
            </w:r>
          </w:p>
        </w:tc>
      </w:tr>
      <w:tr w:rsidR="00F72B68" w14:paraId="1695DE59" w14:textId="77777777" w:rsidTr="0064522A">
        <w:trPr>
          <w:trHeight w:val="632"/>
        </w:trPr>
        <w:tc>
          <w:tcPr>
            <w:tcW w:w="1423" w:type="dxa"/>
            <w:vAlign w:val="center"/>
          </w:tcPr>
          <w:p w14:paraId="1605202E"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41BC988C" w14:textId="77777777" w:rsidR="00F72B68" w:rsidRPr="005C2E97" w:rsidRDefault="00F72B68" w:rsidP="00F72B68">
            <w:r w:rsidRPr="005C2E97">
              <w:t>Forecasting</w:t>
            </w:r>
          </w:p>
          <w:p w14:paraId="269AAAC4" w14:textId="7B34FC36" w:rsidR="00F72B68" w:rsidRDefault="00F72B68" w:rsidP="00F72B68">
            <w:r w:rsidRPr="005C2E97">
              <w:t>Types of Forecasting in Decision Making</w:t>
            </w:r>
          </w:p>
        </w:tc>
      </w:tr>
      <w:tr w:rsidR="00F72B68" w14:paraId="060D5906" w14:textId="77777777" w:rsidTr="0064522A">
        <w:trPr>
          <w:trHeight w:val="632"/>
        </w:trPr>
        <w:tc>
          <w:tcPr>
            <w:tcW w:w="1423" w:type="dxa"/>
            <w:vAlign w:val="center"/>
          </w:tcPr>
          <w:p w14:paraId="0E7FB834"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6D05795A" w14:textId="361C263B" w:rsidR="00F72B68" w:rsidRDefault="00F72B68" w:rsidP="00F72B68">
            <w:pPr>
              <w:tabs>
                <w:tab w:val="left" w:pos="921"/>
              </w:tabs>
              <w:rPr>
                <w:rFonts w:ascii="Times New Roman" w:hAnsi="Times New Roman" w:cs="Times New Roman"/>
              </w:rPr>
            </w:pPr>
            <w:r w:rsidRPr="005C2E97">
              <w:t>Source of Data</w:t>
            </w:r>
          </w:p>
        </w:tc>
      </w:tr>
      <w:tr w:rsidR="00F72B68" w14:paraId="49CC413C" w14:textId="77777777" w:rsidTr="0064522A">
        <w:trPr>
          <w:trHeight w:val="632"/>
        </w:trPr>
        <w:tc>
          <w:tcPr>
            <w:tcW w:w="1423" w:type="dxa"/>
            <w:vAlign w:val="center"/>
          </w:tcPr>
          <w:p w14:paraId="491D013D"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F72B68" w:rsidRDefault="00F72B68" w:rsidP="00F72B68">
            <w:pPr>
              <w:tabs>
                <w:tab w:val="left" w:pos="921"/>
              </w:tabs>
              <w:jc w:val="center"/>
              <w:rPr>
                <w:rFonts w:ascii="Times New Roman" w:hAnsi="Times New Roman" w:cs="Times New Roman"/>
              </w:rPr>
            </w:pPr>
            <w:r>
              <w:rPr>
                <w:rFonts w:ascii="Times New Roman" w:hAnsi="Times New Roman" w:cs="Times New Roman"/>
              </w:rPr>
              <w:t>3</w:t>
            </w:r>
          </w:p>
        </w:tc>
        <w:tc>
          <w:tcPr>
            <w:tcW w:w="6599" w:type="dxa"/>
            <w:vAlign w:val="center"/>
          </w:tcPr>
          <w:p w14:paraId="2496D73F" w14:textId="07DFBE73" w:rsidR="00F72B68" w:rsidRDefault="00F72B68" w:rsidP="00F72B68">
            <w:pPr>
              <w:tabs>
                <w:tab w:val="left" w:pos="921"/>
              </w:tabs>
              <w:rPr>
                <w:rFonts w:ascii="Times New Roman" w:hAnsi="Times New Roman" w:cs="Times New Roman"/>
              </w:rPr>
            </w:pPr>
            <w:r>
              <w:rPr>
                <w:rFonts w:ascii="Times New Roman" w:hAnsi="Times New Roman" w:cs="Times New Roman"/>
              </w:rPr>
              <w:t>Revision</w:t>
            </w:r>
          </w:p>
        </w:tc>
      </w:tr>
      <w:tr w:rsidR="00F72B68" w14:paraId="05677CED" w14:textId="77777777" w:rsidTr="0091368E">
        <w:trPr>
          <w:trHeight w:val="632"/>
        </w:trPr>
        <w:tc>
          <w:tcPr>
            <w:tcW w:w="1423" w:type="dxa"/>
            <w:vAlign w:val="center"/>
          </w:tcPr>
          <w:p w14:paraId="3BEF8139" w14:textId="77777777" w:rsidR="00F72B68" w:rsidRDefault="00F72B68" w:rsidP="00F72B68">
            <w:pPr>
              <w:tabs>
                <w:tab w:val="left" w:pos="921"/>
              </w:tabs>
              <w:jc w:val="center"/>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F72B68" w:rsidRDefault="00F72B68" w:rsidP="00F72B68">
            <w:pPr>
              <w:tabs>
                <w:tab w:val="left" w:pos="921"/>
              </w:tabs>
              <w:jc w:val="center"/>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F72B68" w:rsidRDefault="00F72B68" w:rsidP="00F72B68">
            <w:pPr>
              <w:tabs>
                <w:tab w:val="left" w:pos="921"/>
              </w:tabs>
              <w:jc w:val="center"/>
              <w:rPr>
                <w:rFonts w:ascii="Times New Roman" w:hAnsi="Times New Roman" w:cs="Times New Roman"/>
              </w:rPr>
            </w:pPr>
            <w:r w:rsidRPr="0091368E">
              <w:rPr>
                <w:rFonts w:ascii="Times New Roman" w:hAnsi="Times New Roman" w:cs="Times New Roman"/>
                <w:color w:val="70AD47" w:themeColor="accent6"/>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0214A096"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F72B68">
              <w:rPr>
                <w:rFonts w:ascii="Times New Roman" w:hAnsi="Times New Roman" w:cs="Times New Roman"/>
                <w:b/>
              </w:rPr>
              <w:t>Production Management</w:t>
            </w:r>
          </w:p>
          <w:p w14:paraId="0AE5ABC4" w14:textId="01D6AAE7"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List the methods of analyzing</w:t>
            </w:r>
          </w:p>
          <w:p w14:paraId="328CEE95" w14:textId="67AFE41C"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r w:rsidR="00F72B68">
              <w:rPr>
                <w:rFonts w:ascii="Times New Roman" w:hAnsi="Times New Roman" w:cs="Times New Roman"/>
                <w:b/>
              </w:rPr>
              <w:t xml:space="preserve"> in Production </w:t>
            </w:r>
            <w:proofErr w:type="spellStart"/>
            <w:r w:rsidR="00F72B68">
              <w:rPr>
                <w:rFonts w:ascii="Times New Roman" w:hAnsi="Times New Roman" w:cs="Times New Roman"/>
                <w:b/>
              </w:rPr>
              <w:t>Managment</w:t>
            </w:r>
            <w:proofErr w:type="spellEnd"/>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79605A">
      <w:pPr>
        <w:tabs>
          <w:tab w:val="left" w:pos="960"/>
        </w:tabs>
        <w:rPr>
          <w:rFonts w:ascii="Times New Roman" w:hAnsi="Times New Roman" w:cs="Times New Roman"/>
        </w:rPr>
      </w:pPr>
    </w:p>
    <w:sectPr w:rsidR="008E0A45" w:rsidRPr="00804D7D"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DFD8" w14:textId="77777777" w:rsidR="00AD0297" w:rsidRDefault="00AD0297" w:rsidP="00FA1355">
      <w:pPr>
        <w:spacing w:after="0" w:line="240" w:lineRule="auto"/>
      </w:pPr>
      <w:r>
        <w:separator/>
      </w:r>
    </w:p>
  </w:endnote>
  <w:endnote w:type="continuationSeparator" w:id="0">
    <w:p w14:paraId="29C65094" w14:textId="77777777" w:rsidR="00AD0297" w:rsidRDefault="00AD0297"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4FD5" w14:textId="77777777" w:rsidR="00AD0297" w:rsidRDefault="00AD0297" w:rsidP="00FA1355">
      <w:pPr>
        <w:spacing w:after="0" w:line="240" w:lineRule="auto"/>
      </w:pPr>
      <w:r>
        <w:separator/>
      </w:r>
    </w:p>
  </w:footnote>
  <w:footnote w:type="continuationSeparator" w:id="0">
    <w:p w14:paraId="63C84EE7" w14:textId="77777777" w:rsidR="00AD0297" w:rsidRDefault="00AD0297"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4"/>
  </w:num>
  <w:num w:numId="4" w16cid:durableId="2071534275">
    <w:abstractNumId w:val="28"/>
  </w:num>
  <w:num w:numId="5" w16cid:durableId="1692075180">
    <w:abstractNumId w:val="26"/>
  </w:num>
  <w:num w:numId="6" w16cid:durableId="1675766324">
    <w:abstractNumId w:val="7"/>
  </w:num>
  <w:num w:numId="7" w16cid:durableId="1707825228">
    <w:abstractNumId w:val="49"/>
  </w:num>
  <w:num w:numId="8" w16cid:durableId="532697561">
    <w:abstractNumId w:val="19"/>
  </w:num>
  <w:num w:numId="9" w16cid:durableId="823395357">
    <w:abstractNumId w:val="50"/>
  </w:num>
  <w:num w:numId="10" w16cid:durableId="2141263346">
    <w:abstractNumId w:val="45"/>
  </w:num>
  <w:num w:numId="11" w16cid:durableId="804465947">
    <w:abstractNumId w:val="2"/>
  </w:num>
  <w:num w:numId="12" w16cid:durableId="1465388701">
    <w:abstractNumId w:val="9"/>
  </w:num>
  <w:num w:numId="13" w16cid:durableId="1285038066">
    <w:abstractNumId w:val="15"/>
  </w:num>
  <w:num w:numId="14" w16cid:durableId="945623778">
    <w:abstractNumId w:val="35"/>
  </w:num>
  <w:num w:numId="15" w16cid:durableId="1906908734">
    <w:abstractNumId w:val="22"/>
  </w:num>
  <w:num w:numId="16" w16cid:durableId="989796010">
    <w:abstractNumId w:val="0"/>
  </w:num>
  <w:num w:numId="17" w16cid:durableId="351952083">
    <w:abstractNumId w:val="42"/>
  </w:num>
  <w:num w:numId="18" w16cid:durableId="13657845">
    <w:abstractNumId w:val="38"/>
  </w:num>
  <w:num w:numId="19" w16cid:durableId="576210538">
    <w:abstractNumId w:val="46"/>
  </w:num>
  <w:num w:numId="20" w16cid:durableId="1700400430">
    <w:abstractNumId w:val="24"/>
  </w:num>
  <w:num w:numId="21" w16cid:durableId="1189683940">
    <w:abstractNumId w:val="40"/>
  </w:num>
  <w:num w:numId="22" w16cid:durableId="1227882841">
    <w:abstractNumId w:val="41"/>
  </w:num>
  <w:num w:numId="23" w16cid:durableId="118845219">
    <w:abstractNumId w:val="11"/>
  </w:num>
  <w:num w:numId="24" w16cid:durableId="1283464622">
    <w:abstractNumId w:val="13"/>
  </w:num>
  <w:num w:numId="25" w16cid:durableId="577904958">
    <w:abstractNumId w:val="18"/>
  </w:num>
  <w:num w:numId="26" w16cid:durableId="904032235">
    <w:abstractNumId w:val="52"/>
  </w:num>
  <w:num w:numId="27" w16cid:durableId="1238858618">
    <w:abstractNumId w:val="47"/>
  </w:num>
  <w:num w:numId="28" w16cid:durableId="1038165128">
    <w:abstractNumId w:val="27"/>
  </w:num>
  <w:num w:numId="29" w16cid:durableId="1305891576">
    <w:abstractNumId w:val="30"/>
  </w:num>
  <w:num w:numId="30" w16cid:durableId="2096049349">
    <w:abstractNumId w:val="29"/>
  </w:num>
  <w:num w:numId="31" w16cid:durableId="2040349248">
    <w:abstractNumId w:val="14"/>
  </w:num>
  <w:num w:numId="32" w16cid:durableId="1080639761">
    <w:abstractNumId w:val="51"/>
  </w:num>
  <w:num w:numId="33" w16cid:durableId="1162699378">
    <w:abstractNumId w:val="4"/>
  </w:num>
  <w:num w:numId="34" w16cid:durableId="1295334775">
    <w:abstractNumId w:val="36"/>
  </w:num>
  <w:num w:numId="35" w16cid:durableId="817380266">
    <w:abstractNumId w:val="48"/>
  </w:num>
  <w:num w:numId="36" w16cid:durableId="1292711028">
    <w:abstractNumId w:val="32"/>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3"/>
  </w:num>
  <w:num w:numId="43" w16cid:durableId="1901789264">
    <w:abstractNumId w:val="12"/>
  </w:num>
  <w:num w:numId="44" w16cid:durableId="90928843">
    <w:abstractNumId w:val="6"/>
  </w:num>
  <w:num w:numId="45" w16cid:durableId="230040366">
    <w:abstractNumId w:val="3"/>
  </w:num>
  <w:num w:numId="46" w16cid:durableId="143309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3"/>
  </w:num>
  <w:num w:numId="49" w16cid:durableId="6056967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39"/>
  </w:num>
  <w:num w:numId="51" w16cid:durableId="1500929114">
    <w:abstractNumId w:val="5"/>
  </w:num>
  <w:num w:numId="52" w16cid:durableId="2030796025">
    <w:abstractNumId w:val="25"/>
  </w:num>
  <w:num w:numId="53" w16cid:durableId="522091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QUAz6VNCy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9605A"/>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D0297"/>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AA1BC5"/>
    <w:rsid w:val="00BC5F7D"/>
    <w:rsid w:val="00BD230E"/>
    <w:rsid w:val="00BD445D"/>
    <w:rsid w:val="00C72D39"/>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6</cp:revision>
  <cp:lastPrinted>2019-02-06T05:01:00Z</cp:lastPrinted>
  <dcterms:created xsi:type="dcterms:W3CDTF">2023-06-04T06:31:00Z</dcterms:created>
  <dcterms:modified xsi:type="dcterms:W3CDTF">2023-06-14T11:12:00Z</dcterms:modified>
</cp:coreProperties>
</file>