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26591F7D" w:rsidR="00EE692E" w:rsidRDefault="00105C96"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Intermediate Accounting</w:t>
      </w:r>
      <w:r w:rsidR="00C02BB7">
        <w:rPr>
          <w:rFonts w:ascii="Times New Roman" w:eastAsia="Times New Roman" w:hAnsi="Times New Roman" w:cs="Times New Roman"/>
          <w:b/>
          <w:color w:val="002060"/>
          <w:sz w:val="52"/>
          <w:szCs w:val="52"/>
        </w:rPr>
        <w:t xml:space="preserve"> II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31D8F7FC" w:rsidR="00DA7184" w:rsidRPr="00856519" w:rsidRDefault="00105C96" w:rsidP="00EE1135">
      <w:pPr>
        <w:jc w:val="center"/>
        <w:rPr>
          <w:rFonts w:ascii="Times New Roman" w:hAnsi="Times New Roman" w:cs="Times New Roman"/>
          <w:b/>
          <w:sz w:val="32"/>
        </w:rPr>
      </w:pPr>
      <w:r>
        <w:rPr>
          <w:rFonts w:ascii="Times New Roman" w:hAnsi="Times New Roman" w:cs="Times New Roman"/>
          <w:b/>
          <w:sz w:val="32"/>
        </w:rPr>
        <w:t>Second</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C02BB7">
        <w:rPr>
          <w:rFonts w:ascii="Times New Roman" w:hAnsi="Times New Roman" w:cs="Times New Roman"/>
          <w:b/>
          <w:sz w:val="32"/>
        </w:rPr>
        <w:t>Second</w:t>
      </w:r>
      <w:r w:rsidR="00C02BB7" w:rsidRPr="00856519">
        <w:rPr>
          <w:rFonts w:ascii="Times New Roman" w:hAnsi="Times New Roman" w:cs="Times New Roman"/>
          <w:b/>
          <w:sz w:val="32"/>
        </w:rPr>
        <w:t xml:space="preserve"> </w:t>
      </w:r>
      <w:r w:rsidR="00DA7184" w:rsidRPr="00856519">
        <w:rPr>
          <w:rFonts w:ascii="Times New Roman" w:hAnsi="Times New Roman" w:cs="Times New Roman"/>
          <w:b/>
          <w:sz w:val="32"/>
        </w:rPr>
        <w:t>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18A4751C" w:rsidR="00B8581F" w:rsidRPr="00A33CF9" w:rsidRDefault="00105C96" w:rsidP="00B8581F">
            <w:pPr>
              <w:jc w:val="both"/>
              <w:rPr>
                <w:rFonts w:ascii="Times New Roman" w:hAnsi="Times New Roman" w:cs="Times New Roman"/>
              </w:rPr>
            </w:pPr>
            <w:r>
              <w:rPr>
                <w:rFonts w:ascii="Times New Roman" w:hAnsi="Times New Roman" w:cs="Times New Roman"/>
              </w:rPr>
              <w:t>Intermediate Accounting</w:t>
            </w:r>
            <w:r w:rsidR="00CC78D9">
              <w:rPr>
                <w:rFonts w:ascii="Times New Roman" w:hAnsi="Times New Roman" w:cs="Times New Roman"/>
              </w:rPr>
              <w:t xml:space="preserve"> </w:t>
            </w:r>
            <w:r w:rsidR="00C02BB7">
              <w:rPr>
                <w:rFonts w:ascii="Times New Roman" w:hAnsi="Times New Roman" w:cs="Times New Roman"/>
              </w:rPr>
              <w:t>II</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2FC3A562" w:rsidR="00B8581F" w:rsidRPr="00A33CF9" w:rsidRDefault="00B8581F" w:rsidP="00B8581F">
            <w:pPr>
              <w:jc w:val="both"/>
              <w:rPr>
                <w:rFonts w:ascii="Times New Roman" w:hAnsi="Times New Roman" w:cs="Times New Roman"/>
              </w:rPr>
            </w:pP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83176B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1B70B5EA" w:rsidR="006E7A9C" w:rsidRPr="0037796D" w:rsidRDefault="00105C96" w:rsidP="0037796D">
            <w:pPr>
              <w:jc w:val="both"/>
              <w:rPr>
                <w:rFonts w:ascii="Times New Roman" w:eastAsia="Times New Roman" w:hAnsi="Times New Roman" w:cs="Times New Roman"/>
              </w:rPr>
            </w:pPr>
            <w:r>
              <w:rPr>
                <w:rFonts w:ascii="Times New Roman" w:eastAsia="Times New Roman" w:hAnsi="Times New Roman" w:cs="Times New Roman"/>
              </w:rPr>
              <w:t>Financial Statement. Balance Sheet. Income Statement. Cash flow. Depreciation and Amortization</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75AD6148" w14:textId="782D5FC0" w:rsidR="00754B60" w:rsidRPr="00754B60" w:rsidRDefault="006E7A9C" w:rsidP="00754B60">
            <w:pPr>
              <w:jc w:val="both"/>
              <w:rPr>
                <w:rFonts w:ascii="Times New Roman" w:eastAsia="Times New Roman" w:hAnsi="Times New Roman" w:cs="Times New Roman"/>
              </w:rPr>
            </w:pPr>
            <w:r w:rsidRPr="00754B60">
              <w:rPr>
                <w:rFonts w:ascii="Times New Roman" w:eastAsia="Times New Roman" w:hAnsi="Times New Roman" w:cs="Times New Roman"/>
                <w:b/>
                <w:bCs/>
              </w:rPr>
              <w:t>Course Overview:</w:t>
            </w:r>
            <w:r w:rsidR="0037796D" w:rsidRPr="00754B60">
              <w:rPr>
                <w:rFonts w:ascii="Times New Roman" w:eastAsia="Times New Roman" w:hAnsi="Times New Roman" w:cs="Times New Roman"/>
              </w:rPr>
              <w:t xml:space="preserve"> </w:t>
            </w:r>
            <w:r w:rsidR="00CC78D9" w:rsidRPr="00754B60">
              <w:rPr>
                <w:rFonts w:ascii="Times New Roman" w:eastAsia="Times New Roman" w:hAnsi="Times New Roman" w:cs="Times New Roman"/>
              </w:rPr>
              <w:t xml:space="preserve"> </w:t>
            </w:r>
            <w:r w:rsidR="00754B60" w:rsidRPr="00754B60">
              <w:rPr>
                <w:rFonts w:ascii="Times New Roman" w:eastAsia="Times New Roman" w:hAnsi="Times New Roman" w:cs="Times New Roman"/>
              </w:rPr>
              <w:t xml:space="preserve"> The Intermediate of Accounting (I</w:t>
            </w:r>
            <w:r w:rsidR="00C02BB7">
              <w:rPr>
                <w:rFonts w:ascii="Times New Roman" w:eastAsia="Times New Roman" w:hAnsi="Times New Roman" w:cs="Times New Roman"/>
              </w:rPr>
              <w:t>I</w:t>
            </w:r>
            <w:r w:rsidR="00754B60" w:rsidRPr="00754B60">
              <w:rPr>
                <w:rFonts w:ascii="Times New Roman" w:eastAsia="Times New Roman" w:hAnsi="Times New Roman" w:cs="Times New Roman"/>
              </w:rPr>
              <w:t>), continues a tradition, of helping students understand, prepare, and use financial information by linking accounting education with the "real world" accounting environment. The importance of students understanding the role of financial information in the capital market has never been more important.</w:t>
            </w:r>
          </w:p>
          <w:p w14:paraId="351C0155" w14:textId="177A0E68" w:rsidR="0037796D" w:rsidRPr="00754B60" w:rsidRDefault="00754B60" w:rsidP="00754B60">
            <w:pPr>
              <w:widowControl w:val="0"/>
              <w:autoSpaceDE w:val="0"/>
              <w:autoSpaceDN w:val="0"/>
              <w:adjustRightInd w:val="0"/>
              <w:spacing w:line="360" w:lineRule="auto"/>
              <w:rPr>
                <w:rFonts w:ascii="Times New Roman" w:eastAsia="Times New Roman" w:hAnsi="Times New Roman" w:cs="Times New Roman"/>
              </w:rPr>
            </w:pPr>
            <w:r w:rsidRPr="00754B60">
              <w:rPr>
                <w:rFonts w:ascii="Times New Roman" w:eastAsia="Times New Roman" w:hAnsi="Times New Roman" w:cs="Times New Roman"/>
              </w:rPr>
              <w:t xml:space="preserve">The recent legislation will be helpful because it puts increased emphasis on proper and high-quality reporting. Companies and the individuals who run these companies must adhere to sound reporting practices or face severe sanctions. It is an exciting time for those studying cost accounting. Interest has been higher in developing and accounting information that will be useful to interested parties.  </w:t>
            </w:r>
          </w:p>
          <w:p w14:paraId="661DF1AA" w14:textId="0E6BF957" w:rsidR="006E7A9C" w:rsidRPr="00754B60" w:rsidRDefault="006E7A9C" w:rsidP="006E7A9C">
            <w:pPr>
              <w:jc w:val="both"/>
              <w:rPr>
                <w:rFonts w:ascii="Times New Roman" w:eastAsia="Times New Roman" w:hAnsi="Times New Roman" w:cs="Times New Roman"/>
              </w:rPr>
            </w:pPr>
          </w:p>
          <w:p w14:paraId="2C8FC84F" w14:textId="6226549D" w:rsidR="003E7301" w:rsidRPr="00754B60" w:rsidRDefault="006E7A9C" w:rsidP="003E7301">
            <w:pPr>
              <w:jc w:val="both"/>
              <w:rPr>
                <w:rFonts w:ascii="Times New Roman" w:eastAsia="Times New Roman" w:hAnsi="Times New Roman" w:cs="Times New Roman"/>
              </w:rPr>
            </w:pPr>
            <w:r w:rsidRPr="00754B60">
              <w:rPr>
                <w:rFonts w:ascii="Times New Roman" w:eastAsia="Times New Roman" w:hAnsi="Times New Roman" w:cs="Times New Roman"/>
              </w:rPr>
              <w:t xml:space="preserve">    </w:t>
            </w:r>
          </w:p>
          <w:p w14:paraId="64526AF1" w14:textId="30EC55E9" w:rsidR="006E7A9C" w:rsidRPr="00754B60" w:rsidRDefault="006E7A9C" w:rsidP="006E7A9C">
            <w:pPr>
              <w:jc w:val="both"/>
              <w:rPr>
                <w:rFonts w:ascii="Times New Roman" w:eastAsia="Times New Roman" w:hAnsi="Times New Roman" w:cs="Times New Roman"/>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6B52D0EF" w14:textId="77777777" w:rsidR="00540848" w:rsidRDefault="00540848" w:rsidP="00EE1135">
            <w:pPr>
              <w:jc w:val="both"/>
              <w:rPr>
                <w:rFonts w:ascii="Times New Roman" w:hAnsi="Times New Roman" w:cs="Times New Roman"/>
                <w:b/>
              </w:rPr>
            </w:pPr>
          </w:p>
          <w:p w14:paraId="1DF23036" w14:textId="77777777" w:rsidR="00754B60" w:rsidRPr="00754B60" w:rsidRDefault="00754B60" w:rsidP="00754B60">
            <w:pPr>
              <w:autoSpaceDE w:val="0"/>
              <w:autoSpaceDN w:val="0"/>
              <w:adjustRightInd w:val="0"/>
              <w:spacing w:after="200" w:line="276" w:lineRule="auto"/>
              <w:rPr>
                <w:rFonts w:ascii="Times New Roman" w:eastAsia="Times New Roman" w:hAnsi="Times New Roman" w:cs="Times New Roman"/>
              </w:rPr>
            </w:pPr>
            <w:r w:rsidRPr="00754B60">
              <w:rPr>
                <w:rFonts w:ascii="Times New Roman" w:eastAsia="Times New Roman" w:hAnsi="Times New Roman" w:cs="Times New Roman"/>
              </w:rPr>
              <w:t>The course aims to provide sufficient knowledge about:</w:t>
            </w:r>
          </w:p>
          <w:p w14:paraId="6F30582A"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The accounting information system</w:t>
            </w:r>
          </w:p>
          <w:p w14:paraId="2CB32737"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Income statement and related information</w:t>
            </w:r>
          </w:p>
          <w:p w14:paraId="6FF42871"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Statement of financial position and statement of cash flows</w:t>
            </w:r>
          </w:p>
          <w:p w14:paraId="04C0717D"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Adjusting the accounts.</w:t>
            </w:r>
          </w:p>
          <w:p w14:paraId="65CE7464" w14:textId="6F1C5875"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 xml:space="preserve">Complete </w:t>
            </w:r>
            <w:r>
              <w:rPr>
                <w:rFonts w:ascii="Times New Roman" w:eastAsia="Times New Roman" w:hAnsi="Times New Roman" w:cs="Times New Roman"/>
              </w:rPr>
              <w:t xml:space="preserve">the </w:t>
            </w:r>
            <w:r w:rsidRPr="00754B60">
              <w:rPr>
                <w:rFonts w:ascii="Times New Roman" w:eastAsia="Times New Roman" w:hAnsi="Times New Roman" w:cs="Times New Roman"/>
              </w:rPr>
              <w:t>Accounting Cycle (worksheet).</w:t>
            </w:r>
          </w:p>
          <w:p w14:paraId="3C541212" w14:textId="77777777" w:rsidR="00754B60" w:rsidRPr="000574D1" w:rsidRDefault="00754B60" w:rsidP="00754B60">
            <w:pPr>
              <w:pBdr>
                <w:top w:val="nil"/>
                <w:left w:val="nil"/>
                <w:bottom w:val="nil"/>
                <w:right w:val="nil"/>
                <w:between w:val="nil"/>
              </w:pBdr>
              <w:spacing w:line="276" w:lineRule="auto"/>
              <w:ind w:left="232"/>
              <w:jc w:val="both"/>
              <w:rPr>
                <w:rFonts w:eastAsia="Cambria"/>
              </w:rPr>
            </w:pPr>
            <w:r w:rsidRPr="000574D1">
              <w:lastRenderedPageBreak/>
              <w:t>Accounting for receivables</w:t>
            </w:r>
          </w:p>
          <w:p w14:paraId="5E86E7D8" w14:textId="68158DEA"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66DE7F79"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FC6416">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361196">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361196">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361196">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3C0322A7" w14:textId="0BB9C426" w:rsidR="00C02BB7" w:rsidRPr="00C02BB7" w:rsidRDefault="00C02BB7" w:rsidP="00C02BB7">
            <w:pPr>
              <w:spacing w:after="200" w:line="276" w:lineRule="auto"/>
              <w:contextualSpacing/>
              <w:jc w:val="both"/>
            </w:pPr>
            <w:r w:rsidRPr="00A41D95">
              <w:t xml:space="preserve">Upon completion of this course, students should be able to: </w:t>
            </w:r>
          </w:p>
          <w:p w14:paraId="419772E0" w14:textId="77777777" w:rsidR="00C02BB7" w:rsidRPr="00A41D95" w:rsidRDefault="00C02BB7" w:rsidP="00C02BB7">
            <w:pPr>
              <w:pStyle w:val="ListParagraph"/>
              <w:numPr>
                <w:ilvl w:val="0"/>
                <w:numId w:val="52"/>
              </w:numPr>
              <w:spacing w:after="200" w:line="276" w:lineRule="auto"/>
            </w:pPr>
            <w:r>
              <w:t>Explain Accrual Accounting Versus Cash-Basis Accounting Prepaid Expenses, Unearned Revenues, Accrued Expenses, and Accrued Revenues.</w:t>
            </w:r>
          </w:p>
          <w:p w14:paraId="6A1EE0E7" w14:textId="77777777" w:rsidR="00C02BB7" w:rsidRPr="00A41D95" w:rsidRDefault="00C02BB7" w:rsidP="00C02BB7">
            <w:pPr>
              <w:pStyle w:val="ListParagraph"/>
              <w:numPr>
                <w:ilvl w:val="0"/>
                <w:numId w:val="52"/>
              </w:numPr>
              <w:spacing w:after="200" w:line="276" w:lineRule="auto"/>
            </w:pPr>
            <w:r w:rsidRPr="00A41D95">
              <w:t>Distinguish between perpetual and periodic inventory systems.</w:t>
            </w:r>
          </w:p>
          <w:p w14:paraId="3DA6DC7A" w14:textId="77777777" w:rsidR="00C02BB7" w:rsidRPr="00A41D95" w:rsidRDefault="00C02BB7" w:rsidP="00C02BB7">
            <w:pPr>
              <w:pStyle w:val="ListParagraph"/>
              <w:numPr>
                <w:ilvl w:val="0"/>
                <w:numId w:val="52"/>
              </w:numPr>
              <w:spacing w:after="200" w:line="276" w:lineRule="auto"/>
            </w:pPr>
            <w:r w:rsidRPr="00A41D95">
              <w:t>Identify the effects of inventory errors on the financial statements.</w:t>
            </w:r>
          </w:p>
          <w:p w14:paraId="45651700" w14:textId="77777777" w:rsidR="00C02BB7" w:rsidRPr="00A41D95" w:rsidRDefault="00C02BB7" w:rsidP="00C02BB7">
            <w:pPr>
              <w:pStyle w:val="ListParagraph"/>
              <w:widowControl w:val="0"/>
              <w:numPr>
                <w:ilvl w:val="0"/>
                <w:numId w:val="52"/>
              </w:numPr>
              <w:spacing w:after="200" w:line="276" w:lineRule="auto"/>
            </w:pPr>
            <w:r w:rsidRPr="00A41D95">
              <w:t xml:space="preserve">Identify the items that should be included as inventory </w:t>
            </w:r>
            <w:r>
              <w:t>costs</w:t>
            </w:r>
            <w:r w:rsidRPr="00A41D95">
              <w:t>.</w:t>
            </w:r>
          </w:p>
          <w:p w14:paraId="52303D4E" w14:textId="77777777" w:rsidR="00C02BB7" w:rsidRPr="00A41D95" w:rsidRDefault="00C02BB7" w:rsidP="00C02BB7">
            <w:pPr>
              <w:pStyle w:val="ListParagraph"/>
              <w:widowControl w:val="0"/>
              <w:numPr>
                <w:ilvl w:val="0"/>
                <w:numId w:val="52"/>
              </w:numPr>
              <w:spacing w:after="200" w:line="276" w:lineRule="auto"/>
            </w:pPr>
            <w:r w:rsidRPr="00A41D95">
              <w:t xml:space="preserve"> Explain the significance and use of a LIFO reserve.</w:t>
            </w:r>
          </w:p>
          <w:p w14:paraId="1FACBF2A" w14:textId="77777777" w:rsidR="00C02BB7" w:rsidRPr="00A41D95" w:rsidRDefault="00C02BB7" w:rsidP="00C02BB7">
            <w:pPr>
              <w:pStyle w:val="ListParagraph"/>
              <w:numPr>
                <w:ilvl w:val="0"/>
                <w:numId w:val="52"/>
              </w:numPr>
              <w:spacing w:after="200" w:line="276" w:lineRule="auto"/>
            </w:pPr>
            <w:r w:rsidRPr="00A41D95">
              <w:t>Identify major classifications of inventory.</w:t>
            </w:r>
          </w:p>
          <w:p w14:paraId="436E414D" w14:textId="77777777" w:rsidR="00754B60" w:rsidRPr="000574D1" w:rsidRDefault="00754B60" w:rsidP="00754B60">
            <w:r w:rsidRPr="000574D1">
              <w:rPr>
                <w:rFonts w:eastAsia="Calibri"/>
                <w:kern w:val="24"/>
                <w14:ligatures w14:val="standardContextual"/>
              </w:rPr>
              <w:t>Use basic financial statement ratio analysis to evaluate financial performance.</w:t>
            </w:r>
          </w:p>
          <w:p w14:paraId="77CBEF46" w14:textId="77777777" w:rsidR="00754B60" w:rsidRPr="000574D1" w:rsidRDefault="00754B60" w:rsidP="00754B60"/>
          <w:p w14:paraId="7C04759E" w14:textId="7ED5C086" w:rsidR="003E7301" w:rsidRPr="004147C8" w:rsidRDefault="003E7301" w:rsidP="003E7301">
            <w:pPr>
              <w:jc w:val="both"/>
              <w:rPr>
                <w:rFonts w:ascii="Times New Roman" w:hAnsi="Times New Roman" w:cs="Times New Roman"/>
              </w:rPr>
            </w:pP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4DFCB5E5"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Donald E. </w:t>
            </w:r>
            <w:proofErr w:type="spellStart"/>
            <w:r w:rsidRPr="00754B60">
              <w:rPr>
                <w:rFonts w:eastAsia="Calibri"/>
                <w:kern w:val="24"/>
                <w14:ligatures w14:val="standardContextual"/>
              </w:rPr>
              <w:t>Kieso</w:t>
            </w:r>
            <w:proofErr w:type="spellEnd"/>
            <w:r w:rsidRPr="00754B60">
              <w:rPr>
                <w:rFonts w:eastAsia="Calibri"/>
                <w:kern w:val="24"/>
                <w14:ligatures w14:val="standardContextual"/>
              </w:rPr>
              <w:t>, Jerry J. Weygandt, and Terry D. Warfield</w:t>
            </w:r>
          </w:p>
          <w:p w14:paraId="72DAFE3C"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"Intermediate Accounting" by J. David Spiceland, Mark W. Nelson, and Wayne Thomas</w:t>
            </w:r>
          </w:p>
          <w:p w14:paraId="56584127"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"Intermediate Accounting" by Loren A. Nikolai, John D. Bazley, and Jefferson P. Jones</w:t>
            </w:r>
          </w:p>
          <w:p w14:paraId="12C84AAA"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IFRS Edition" by Donald E. </w:t>
            </w:r>
            <w:proofErr w:type="spellStart"/>
            <w:r w:rsidRPr="00754B60">
              <w:rPr>
                <w:rFonts w:eastAsia="Calibri"/>
                <w:kern w:val="24"/>
                <w14:ligatures w14:val="standardContextual"/>
              </w:rPr>
              <w:t>Kieso</w:t>
            </w:r>
            <w:proofErr w:type="spellEnd"/>
            <w:r w:rsidRPr="00754B60">
              <w:rPr>
                <w:rFonts w:eastAsia="Calibri"/>
                <w:kern w:val="24"/>
                <w14:ligatures w14:val="standardContextual"/>
              </w:rPr>
              <w:t>, Jerry J. Weygandt, and Terry D. Warfield</w:t>
            </w:r>
          </w:p>
          <w:p w14:paraId="28E518E7"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Robles and </w:t>
            </w:r>
            <w:proofErr w:type="spellStart"/>
            <w:r w:rsidRPr="00754B60">
              <w:rPr>
                <w:rFonts w:eastAsia="Calibri"/>
                <w:kern w:val="24"/>
                <w14:ligatures w14:val="standardContextual"/>
              </w:rPr>
              <w:t>Empleo</w:t>
            </w:r>
            <w:proofErr w:type="spellEnd"/>
          </w:p>
          <w:p w14:paraId="77F911C8"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"Financial Accounting: IFRS" by Jerry J. Weygandt, Paul D. Kimmel, and Donald E. </w:t>
            </w:r>
            <w:proofErr w:type="spellStart"/>
            <w:r w:rsidRPr="00754B60">
              <w:rPr>
                <w:rFonts w:eastAsia="Calibri"/>
                <w:kern w:val="24"/>
                <w14:ligatures w14:val="standardContextual"/>
              </w:rPr>
              <w:t>Kieso</w:t>
            </w:r>
            <w:proofErr w:type="spellEnd"/>
          </w:p>
          <w:p w14:paraId="292C2AE1"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w:t>
            </w:r>
            <w:proofErr w:type="spellStart"/>
            <w:r w:rsidRPr="00754B60">
              <w:rPr>
                <w:rFonts w:eastAsia="Calibri"/>
                <w:kern w:val="24"/>
                <w14:ligatures w14:val="standardContextual"/>
              </w:rPr>
              <w:t>Dyckman</w:t>
            </w:r>
            <w:proofErr w:type="spellEnd"/>
            <w:r w:rsidRPr="00754B60">
              <w:rPr>
                <w:rFonts w:eastAsia="Calibri"/>
                <w:kern w:val="24"/>
                <w14:ligatures w14:val="standardContextual"/>
              </w:rPr>
              <w:t>, Hanlon, Magee, and Pfeiffer</w:t>
            </w:r>
          </w:p>
          <w:p w14:paraId="28A33E8D" w14:textId="1C7EF7FF" w:rsidR="009C2A88" w:rsidRPr="00754B60" w:rsidRDefault="009C2A88" w:rsidP="002E2567">
            <w:pPr>
              <w:tabs>
                <w:tab w:val="left" w:pos="921"/>
              </w:tabs>
              <w:rPr>
                <w:rFonts w:ascii="Times New Roman" w:hAnsi="Times New Roman" w:cs="Times New Roman"/>
                <w:b/>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rsidRPr="00C02BB7" w14:paraId="2C89150D" w14:textId="77777777" w:rsidTr="00327959">
        <w:trPr>
          <w:trHeight w:val="393"/>
        </w:trPr>
        <w:tc>
          <w:tcPr>
            <w:tcW w:w="1416" w:type="dxa"/>
            <w:vAlign w:val="center"/>
          </w:tcPr>
          <w:p w14:paraId="6E14939D" w14:textId="77777777" w:rsidR="00C702F8" w:rsidRPr="00C02BB7" w:rsidRDefault="00C702F8" w:rsidP="00C02BB7">
            <w:pPr>
              <w:tabs>
                <w:tab w:val="left" w:pos="921"/>
              </w:tabs>
              <w:rPr>
                <w:rFonts w:asciiTheme="majorBidi" w:hAnsiTheme="majorBidi" w:cstheme="majorBidi"/>
              </w:rPr>
            </w:pPr>
            <w:r w:rsidRPr="00C02BB7">
              <w:rPr>
                <w:rFonts w:asciiTheme="majorBidi" w:hAnsiTheme="majorBidi" w:cstheme="majorBidi"/>
              </w:rPr>
              <w:lastRenderedPageBreak/>
              <w:t>1.</w:t>
            </w:r>
          </w:p>
        </w:tc>
        <w:tc>
          <w:tcPr>
            <w:tcW w:w="1548" w:type="dxa"/>
          </w:tcPr>
          <w:p w14:paraId="266FE28D" w14:textId="51D9E032" w:rsidR="00F867D7" w:rsidRPr="00C02BB7" w:rsidRDefault="00B02677" w:rsidP="00C02BB7">
            <w:pPr>
              <w:tabs>
                <w:tab w:val="left" w:pos="921"/>
              </w:tabs>
              <w:rPr>
                <w:rFonts w:asciiTheme="majorBidi" w:hAnsiTheme="majorBidi" w:cstheme="majorBidi"/>
              </w:rPr>
            </w:pPr>
            <w:r w:rsidRPr="00C02BB7">
              <w:rPr>
                <w:rFonts w:asciiTheme="majorBidi" w:hAnsiTheme="majorBidi" w:cstheme="majorBidi"/>
              </w:rPr>
              <w:t>Week 1</w:t>
            </w:r>
          </w:p>
        </w:tc>
        <w:tc>
          <w:tcPr>
            <w:tcW w:w="848" w:type="dxa"/>
            <w:vAlign w:val="center"/>
          </w:tcPr>
          <w:p w14:paraId="2D530015" w14:textId="22B8ABBE" w:rsidR="00C702F8" w:rsidRPr="00C02BB7" w:rsidRDefault="005D1EF7" w:rsidP="00C02BB7">
            <w:pPr>
              <w:tabs>
                <w:tab w:val="left" w:pos="921"/>
              </w:tabs>
              <w:rPr>
                <w:rFonts w:asciiTheme="majorBidi" w:hAnsiTheme="majorBidi" w:cstheme="majorBidi"/>
              </w:rPr>
            </w:pPr>
            <w:r w:rsidRPr="00C02BB7">
              <w:rPr>
                <w:rFonts w:asciiTheme="majorBidi" w:hAnsiTheme="majorBidi" w:cstheme="majorBidi"/>
              </w:rPr>
              <w:t>3</w:t>
            </w:r>
          </w:p>
        </w:tc>
        <w:tc>
          <w:tcPr>
            <w:tcW w:w="6568" w:type="dxa"/>
            <w:vAlign w:val="center"/>
          </w:tcPr>
          <w:p w14:paraId="6436FCB2" w14:textId="31C001A8" w:rsidR="00C702F8" w:rsidRPr="00C02BB7" w:rsidRDefault="00C02BB7" w:rsidP="005D1EF7">
            <w:pPr>
              <w:tabs>
                <w:tab w:val="left" w:pos="921"/>
              </w:tabs>
              <w:rPr>
                <w:rFonts w:asciiTheme="majorBidi" w:hAnsiTheme="majorBidi" w:cstheme="majorBidi"/>
              </w:rPr>
            </w:pPr>
            <w:r w:rsidRPr="00C02BB7">
              <w:rPr>
                <w:rFonts w:asciiTheme="majorBidi" w:hAnsiTheme="majorBidi" w:cstheme="majorBidi"/>
              </w:rPr>
              <w:t>Introduction Adjusting Entries</w:t>
            </w:r>
          </w:p>
        </w:tc>
      </w:tr>
      <w:tr w:rsidR="00327959" w:rsidRPr="00C02BB7" w14:paraId="342174FE" w14:textId="77777777" w:rsidTr="00327959">
        <w:trPr>
          <w:trHeight w:val="315"/>
        </w:trPr>
        <w:tc>
          <w:tcPr>
            <w:tcW w:w="1416" w:type="dxa"/>
            <w:vAlign w:val="center"/>
          </w:tcPr>
          <w:p w14:paraId="21F96C24" w14:textId="77777777" w:rsidR="00327959" w:rsidRPr="00C02BB7" w:rsidRDefault="00327959" w:rsidP="00C02BB7">
            <w:pPr>
              <w:tabs>
                <w:tab w:val="left" w:pos="921"/>
              </w:tabs>
              <w:rPr>
                <w:rFonts w:asciiTheme="majorBidi" w:hAnsiTheme="majorBidi" w:cstheme="majorBidi"/>
              </w:rPr>
            </w:pPr>
            <w:r w:rsidRPr="00C02BB7">
              <w:rPr>
                <w:rFonts w:asciiTheme="majorBidi" w:hAnsiTheme="majorBidi" w:cstheme="majorBidi"/>
              </w:rPr>
              <w:t>2.</w:t>
            </w:r>
          </w:p>
        </w:tc>
        <w:tc>
          <w:tcPr>
            <w:tcW w:w="1548" w:type="dxa"/>
          </w:tcPr>
          <w:p w14:paraId="78B66170" w14:textId="579AA03A" w:rsidR="00327959" w:rsidRPr="00C02BB7" w:rsidRDefault="00327959" w:rsidP="00C02BB7">
            <w:pPr>
              <w:tabs>
                <w:tab w:val="left" w:pos="921"/>
              </w:tabs>
              <w:rPr>
                <w:rFonts w:asciiTheme="majorBidi" w:hAnsiTheme="majorBidi" w:cstheme="majorBidi"/>
              </w:rPr>
            </w:pPr>
            <w:r w:rsidRPr="00C02BB7">
              <w:rPr>
                <w:rFonts w:asciiTheme="majorBidi" w:hAnsiTheme="majorBidi" w:cstheme="majorBidi"/>
              </w:rPr>
              <w:t>Week 2</w:t>
            </w:r>
          </w:p>
        </w:tc>
        <w:tc>
          <w:tcPr>
            <w:tcW w:w="848" w:type="dxa"/>
            <w:vAlign w:val="center"/>
          </w:tcPr>
          <w:p w14:paraId="07C50704" w14:textId="21A1546B" w:rsidR="00327959" w:rsidRPr="00C02BB7" w:rsidRDefault="00327959" w:rsidP="00C02BB7">
            <w:pPr>
              <w:tabs>
                <w:tab w:val="left" w:pos="921"/>
              </w:tabs>
              <w:rPr>
                <w:rFonts w:asciiTheme="majorBidi" w:hAnsiTheme="majorBidi" w:cstheme="majorBidi"/>
              </w:rPr>
            </w:pPr>
            <w:r w:rsidRPr="00C02BB7">
              <w:rPr>
                <w:rFonts w:asciiTheme="majorBidi" w:hAnsiTheme="majorBidi" w:cstheme="majorBidi"/>
              </w:rPr>
              <w:t>3</w:t>
            </w:r>
          </w:p>
        </w:tc>
        <w:tc>
          <w:tcPr>
            <w:tcW w:w="6568" w:type="dxa"/>
            <w:vAlign w:val="center"/>
          </w:tcPr>
          <w:p w14:paraId="2CAAEBB6" w14:textId="571DD4D1" w:rsidR="00327959" w:rsidRPr="00C02BB7" w:rsidRDefault="00C02BB7" w:rsidP="00754B60">
            <w:pPr>
              <w:tabs>
                <w:tab w:val="left" w:pos="921"/>
              </w:tabs>
              <w:rPr>
                <w:rFonts w:asciiTheme="majorBidi" w:hAnsiTheme="majorBidi" w:cstheme="majorBidi"/>
              </w:rPr>
            </w:pPr>
            <w:r w:rsidRPr="00C02BB7">
              <w:rPr>
                <w:rFonts w:asciiTheme="majorBidi" w:hAnsiTheme="majorBidi" w:cstheme="majorBidi"/>
              </w:rPr>
              <w:t>Prepaid Expenses</w:t>
            </w:r>
          </w:p>
        </w:tc>
      </w:tr>
      <w:tr w:rsidR="00327959" w:rsidRPr="00C02BB7" w14:paraId="1F721FA3" w14:textId="77777777" w:rsidTr="00327959">
        <w:trPr>
          <w:trHeight w:val="237"/>
        </w:trPr>
        <w:tc>
          <w:tcPr>
            <w:tcW w:w="1416" w:type="dxa"/>
            <w:vAlign w:val="center"/>
          </w:tcPr>
          <w:p w14:paraId="0291FFE1" w14:textId="77777777" w:rsidR="00327959" w:rsidRPr="00C02BB7" w:rsidRDefault="00327959" w:rsidP="00C02BB7">
            <w:pPr>
              <w:tabs>
                <w:tab w:val="left" w:pos="921"/>
              </w:tabs>
              <w:rPr>
                <w:rFonts w:asciiTheme="majorBidi" w:hAnsiTheme="majorBidi" w:cstheme="majorBidi"/>
              </w:rPr>
            </w:pPr>
            <w:r w:rsidRPr="00C02BB7">
              <w:rPr>
                <w:rFonts w:asciiTheme="majorBidi" w:hAnsiTheme="majorBidi" w:cstheme="majorBidi"/>
              </w:rPr>
              <w:t>3.</w:t>
            </w:r>
          </w:p>
        </w:tc>
        <w:tc>
          <w:tcPr>
            <w:tcW w:w="1548" w:type="dxa"/>
          </w:tcPr>
          <w:p w14:paraId="361218C8" w14:textId="783F7932" w:rsidR="00327959" w:rsidRPr="00C02BB7" w:rsidRDefault="00327959" w:rsidP="00C02BB7">
            <w:pPr>
              <w:tabs>
                <w:tab w:val="left" w:pos="921"/>
              </w:tabs>
              <w:rPr>
                <w:rFonts w:asciiTheme="majorBidi" w:hAnsiTheme="majorBidi" w:cstheme="majorBidi"/>
              </w:rPr>
            </w:pPr>
            <w:r w:rsidRPr="00C02BB7">
              <w:rPr>
                <w:rFonts w:asciiTheme="majorBidi" w:hAnsiTheme="majorBidi" w:cstheme="majorBidi"/>
              </w:rPr>
              <w:t>Week 3</w:t>
            </w:r>
          </w:p>
        </w:tc>
        <w:tc>
          <w:tcPr>
            <w:tcW w:w="848" w:type="dxa"/>
            <w:vAlign w:val="center"/>
          </w:tcPr>
          <w:p w14:paraId="6F4D736B" w14:textId="45304FC8" w:rsidR="00327959" w:rsidRPr="00C02BB7" w:rsidRDefault="00327959" w:rsidP="00C02BB7">
            <w:pPr>
              <w:tabs>
                <w:tab w:val="left" w:pos="921"/>
              </w:tabs>
              <w:rPr>
                <w:rFonts w:asciiTheme="majorBidi" w:hAnsiTheme="majorBidi" w:cstheme="majorBidi"/>
              </w:rPr>
            </w:pPr>
            <w:r w:rsidRPr="00C02BB7">
              <w:rPr>
                <w:rFonts w:asciiTheme="majorBidi" w:hAnsiTheme="majorBidi" w:cstheme="majorBidi"/>
              </w:rPr>
              <w:t>3</w:t>
            </w:r>
          </w:p>
        </w:tc>
        <w:tc>
          <w:tcPr>
            <w:tcW w:w="6568" w:type="dxa"/>
            <w:vAlign w:val="center"/>
          </w:tcPr>
          <w:p w14:paraId="0951BAA6" w14:textId="159D8316" w:rsidR="00327959" w:rsidRPr="00C02BB7" w:rsidRDefault="00C02BB7" w:rsidP="00327959">
            <w:pPr>
              <w:tabs>
                <w:tab w:val="left" w:pos="921"/>
              </w:tabs>
              <w:rPr>
                <w:rFonts w:asciiTheme="majorBidi" w:hAnsiTheme="majorBidi" w:cstheme="majorBidi"/>
              </w:rPr>
            </w:pPr>
            <w:r w:rsidRPr="00C02BB7">
              <w:rPr>
                <w:rFonts w:asciiTheme="majorBidi" w:hAnsiTheme="majorBidi" w:cstheme="majorBidi"/>
              </w:rPr>
              <w:t>Unearned Revenues</w:t>
            </w:r>
          </w:p>
        </w:tc>
      </w:tr>
      <w:tr w:rsidR="00327959" w:rsidRPr="00C02BB7" w14:paraId="013CCABA" w14:textId="77777777" w:rsidTr="00C702F8">
        <w:trPr>
          <w:trHeight w:val="584"/>
        </w:trPr>
        <w:tc>
          <w:tcPr>
            <w:tcW w:w="1416" w:type="dxa"/>
            <w:vAlign w:val="center"/>
          </w:tcPr>
          <w:p w14:paraId="783485EE" w14:textId="77777777"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4.</w:t>
            </w:r>
          </w:p>
        </w:tc>
        <w:tc>
          <w:tcPr>
            <w:tcW w:w="1548" w:type="dxa"/>
          </w:tcPr>
          <w:p w14:paraId="1202F3E0" w14:textId="0A548459"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Week 4</w:t>
            </w:r>
          </w:p>
        </w:tc>
        <w:tc>
          <w:tcPr>
            <w:tcW w:w="848" w:type="dxa"/>
            <w:vAlign w:val="center"/>
          </w:tcPr>
          <w:p w14:paraId="165287F5" w14:textId="69718D5C"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3</w:t>
            </w:r>
          </w:p>
        </w:tc>
        <w:tc>
          <w:tcPr>
            <w:tcW w:w="6568" w:type="dxa"/>
            <w:vAlign w:val="center"/>
          </w:tcPr>
          <w:p w14:paraId="77368297" w14:textId="2DF4F6B5" w:rsidR="00327959" w:rsidRPr="00C02BB7" w:rsidRDefault="00C02BB7" w:rsidP="00754B60">
            <w:pPr>
              <w:tabs>
                <w:tab w:val="left" w:pos="921"/>
              </w:tabs>
              <w:rPr>
                <w:rFonts w:asciiTheme="majorBidi" w:hAnsiTheme="majorBidi" w:cstheme="majorBidi"/>
              </w:rPr>
            </w:pPr>
            <w:r w:rsidRPr="00C02BB7">
              <w:rPr>
                <w:rFonts w:asciiTheme="majorBidi" w:hAnsiTheme="majorBidi" w:cstheme="majorBidi"/>
              </w:rPr>
              <w:t>Accrued Revenues</w:t>
            </w:r>
          </w:p>
        </w:tc>
      </w:tr>
    </w:tbl>
    <w:p w14:paraId="0F94525D" w14:textId="77777777" w:rsidR="00057988" w:rsidRPr="00C02BB7" w:rsidRDefault="00057988" w:rsidP="00327959">
      <w:pPr>
        <w:tabs>
          <w:tab w:val="left" w:pos="921"/>
        </w:tabs>
        <w:spacing w:after="0" w:line="240" w:lineRule="auto"/>
        <w:rPr>
          <w:rFonts w:asciiTheme="majorBidi" w:hAnsiTheme="majorBidi" w:cstheme="majorBidi"/>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C02BB7" w14:paraId="7C1133BF" w14:textId="77777777" w:rsidTr="00024F89">
        <w:trPr>
          <w:trHeight w:val="632"/>
        </w:trPr>
        <w:tc>
          <w:tcPr>
            <w:tcW w:w="1423" w:type="dxa"/>
            <w:vAlign w:val="center"/>
          </w:tcPr>
          <w:p w14:paraId="48286415" w14:textId="77777777"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5.</w:t>
            </w:r>
          </w:p>
        </w:tc>
        <w:tc>
          <w:tcPr>
            <w:tcW w:w="1555" w:type="dxa"/>
          </w:tcPr>
          <w:p w14:paraId="509454DA" w14:textId="506D4CDC"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Week 5</w:t>
            </w:r>
          </w:p>
        </w:tc>
        <w:tc>
          <w:tcPr>
            <w:tcW w:w="853" w:type="dxa"/>
            <w:vAlign w:val="center"/>
          </w:tcPr>
          <w:p w14:paraId="658821D5" w14:textId="4448FD3B"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3</w:t>
            </w:r>
          </w:p>
        </w:tc>
        <w:tc>
          <w:tcPr>
            <w:tcW w:w="6599" w:type="dxa"/>
            <w:vAlign w:val="center"/>
          </w:tcPr>
          <w:p w14:paraId="3286E523" w14:textId="51417D74" w:rsidR="00327959" w:rsidRPr="00C02BB7" w:rsidRDefault="00C02BB7" w:rsidP="00327959">
            <w:pPr>
              <w:tabs>
                <w:tab w:val="left" w:pos="921"/>
              </w:tabs>
              <w:rPr>
                <w:rFonts w:asciiTheme="majorBidi" w:hAnsiTheme="majorBidi" w:cstheme="majorBidi"/>
              </w:rPr>
            </w:pPr>
            <w:r w:rsidRPr="00C02BB7">
              <w:rPr>
                <w:rFonts w:asciiTheme="majorBidi" w:hAnsiTheme="majorBidi" w:cstheme="majorBidi"/>
              </w:rPr>
              <w:t>Accrued Expenses</w:t>
            </w:r>
          </w:p>
        </w:tc>
      </w:tr>
      <w:tr w:rsidR="00327959" w:rsidRPr="00C02BB7" w14:paraId="2EF397E5" w14:textId="77777777" w:rsidTr="00024F89">
        <w:trPr>
          <w:trHeight w:val="632"/>
        </w:trPr>
        <w:tc>
          <w:tcPr>
            <w:tcW w:w="1423" w:type="dxa"/>
            <w:vAlign w:val="center"/>
          </w:tcPr>
          <w:p w14:paraId="3AFB23E4" w14:textId="77777777"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6.</w:t>
            </w:r>
          </w:p>
        </w:tc>
        <w:tc>
          <w:tcPr>
            <w:tcW w:w="1555" w:type="dxa"/>
          </w:tcPr>
          <w:p w14:paraId="4F9CC542" w14:textId="53E3F673"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Week 6</w:t>
            </w:r>
          </w:p>
        </w:tc>
        <w:tc>
          <w:tcPr>
            <w:tcW w:w="853" w:type="dxa"/>
            <w:vAlign w:val="center"/>
          </w:tcPr>
          <w:p w14:paraId="4C48503D" w14:textId="3F278F1C"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3</w:t>
            </w:r>
          </w:p>
        </w:tc>
        <w:tc>
          <w:tcPr>
            <w:tcW w:w="6599" w:type="dxa"/>
            <w:vAlign w:val="center"/>
          </w:tcPr>
          <w:p w14:paraId="0D3B1725" w14:textId="13B27888" w:rsidR="00327959" w:rsidRPr="00C02BB7" w:rsidRDefault="00C02BB7" w:rsidP="00327959">
            <w:pPr>
              <w:tabs>
                <w:tab w:val="left" w:pos="921"/>
              </w:tabs>
              <w:rPr>
                <w:rFonts w:asciiTheme="majorBidi" w:hAnsiTheme="majorBidi" w:cstheme="majorBidi"/>
              </w:rPr>
            </w:pPr>
            <w:r w:rsidRPr="00C02BB7">
              <w:rPr>
                <w:rFonts w:asciiTheme="majorBidi" w:hAnsiTheme="majorBidi" w:cstheme="majorBidi"/>
              </w:rPr>
              <w:t>Practical, review</w:t>
            </w:r>
          </w:p>
        </w:tc>
      </w:tr>
      <w:tr w:rsidR="00327959" w:rsidRPr="00C02BB7" w14:paraId="5FDAF916" w14:textId="77777777" w:rsidTr="0064522A">
        <w:trPr>
          <w:trHeight w:val="632"/>
        </w:trPr>
        <w:tc>
          <w:tcPr>
            <w:tcW w:w="1423" w:type="dxa"/>
            <w:vAlign w:val="center"/>
          </w:tcPr>
          <w:p w14:paraId="52170189" w14:textId="77777777"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7.</w:t>
            </w:r>
          </w:p>
        </w:tc>
        <w:tc>
          <w:tcPr>
            <w:tcW w:w="1555" w:type="dxa"/>
            <w:vAlign w:val="center"/>
          </w:tcPr>
          <w:p w14:paraId="57A2BA56" w14:textId="21965CE4"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Week 7</w:t>
            </w:r>
          </w:p>
        </w:tc>
        <w:tc>
          <w:tcPr>
            <w:tcW w:w="853" w:type="dxa"/>
            <w:vAlign w:val="center"/>
          </w:tcPr>
          <w:p w14:paraId="18D35FB8" w14:textId="6BA9F45E" w:rsidR="00327959" w:rsidRPr="00C02BB7" w:rsidRDefault="00327959" w:rsidP="00327959">
            <w:pPr>
              <w:tabs>
                <w:tab w:val="left" w:pos="921"/>
              </w:tabs>
              <w:rPr>
                <w:rFonts w:asciiTheme="majorBidi" w:hAnsiTheme="majorBidi" w:cstheme="majorBidi"/>
              </w:rPr>
            </w:pPr>
            <w:r w:rsidRPr="00C02BB7">
              <w:rPr>
                <w:rFonts w:asciiTheme="majorBidi" w:hAnsiTheme="majorBidi" w:cstheme="majorBidi"/>
              </w:rPr>
              <w:t>3</w:t>
            </w:r>
          </w:p>
        </w:tc>
        <w:tc>
          <w:tcPr>
            <w:tcW w:w="6599" w:type="dxa"/>
            <w:vAlign w:val="center"/>
          </w:tcPr>
          <w:p w14:paraId="000BCD98" w14:textId="62DF645A" w:rsidR="00327959" w:rsidRPr="00C02BB7" w:rsidRDefault="00C02BB7" w:rsidP="00327959">
            <w:pPr>
              <w:tabs>
                <w:tab w:val="left" w:pos="921"/>
              </w:tabs>
              <w:rPr>
                <w:rFonts w:asciiTheme="majorBidi" w:hAnsiTheme="majorBidi" w:cstheme="majorBidi"/>
              </w:rPr>
            </w:pPr>
            <w:r w:rsidRPr="00C02BB7">
              <w:rPr>
                <w:rFonts w:asciiTheme="majorBidi" w:hAnsiTheme="majorBidi" w:cstheme="majorBidi"/>
              </w:rPr>
              <w:t>Adjusted Trial Balance</w:t>
            </w:r>
          </w:p>
        </w:tc>
      </w:tr>
      <w:tr w:rsidR="00754B60" w:rsidRPr="00C02BB7" w14:paraId="5E4C88DA" w14:textId="77777777" w:rsidTr="0064522A">
        <w:trPr>
          <w:trHeight w:val="632"/>
        </w:trPr>
        <w:tc>
          <w:tcPr>
            <w:tcW w:w="1423" w:type="dxa"/>
            <w:vAlign w:val="center"/>
          </w:tcPr>
          <w:p w14:paraId="6E92BC06" w14:textId="77777777"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8.</w:t>
            </w:r>
          </w:p>
        </w:tc>
        <w:tc>
          <w:tcPr>
            <w:tcW w:w="1555" w:type="dxa"/>
            <w:vAlign w:val="center"/>
          </w:tcPr>
          <w:p w14:paraId="0E442366" w14:textId="77240BF3"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Week 8</w:t>
            </w:r>
          </w:p>
        </w:tc>
        <w:tc>
          <w:tcPr>
            <w:tcW w:w="853" w:type="dxa"/>
            <w:vAlign w:val="center"/>
          </w:tcPr>
          <w:p w14:paraId="670EC536" w14:textId="7210BA20"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3</w:t>
            </w:r>
          </w:p>
        </w:tc>
        <w:tc>
          <w:tcPr>
            <w:tcW w:w="6599" w:type="dxa"/>
            <w:vAlign w:val="center"/>
          </w:tcPr>
          <w:p w14:paraId="3CB09B8F" w14:textId="35A3A454" w:rsidR="00754B60" w:rsidRPr="00C02BB7" w:rsidRDefault="00C02BB7" w:rsidP="00754B60">
            <w:pPr>
              <w:tabs>
                <w:tab w:val="left" w:pos="921"/>
              </w:tabs>
              <w:rPr>
                <w:rFonts w:asciiTheme="majorBidi" w:hAnsiTheme="majorBidi" w:cstheme="majorBidi"/>
              </w:rPr>
            </w:pPr>
            <w:r w:rsidRPr="00C02BB7">
              <w:rPr>
                <w:rFonts w:asciiTheme="majorBidi" w:hAnsiTheme="majorBidi" w:cstheme="majorBidi"/>
              </w:rPr>
              <w:t>Practical, review</w:t>
            </w:r>
          </w:p>
        </w:tc>
      </w:tr>
      <w:tr w:rsidR="00754B60" w:rsidRPr="00C02BB7" w14:paraId="15FF496B" w14:textId="77777777" w:rsidTr="0064522A">
        <w:trPr>
          <w:trHeight w:val="632"/>
        </w:trPr>
        <w:tc>
          <w:tcPr>
            <w:tcW w:w="1423" w:type="dxa"/>
            <w:vAlign w:val="center"/>
          </w:tcPr>
          <w:p w14:paraId="392AED1C" w14:textId="77777777"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9.</w:t>
            </w:r>
          </w:p>
        </w:tc>
        <w:tc>
          <w:tcPr>
            <w:tcW w:w="1555" w:type="dxa"/>
            <w:vAlign w:val="center"/>
          </w:tcPr>
          <w:p w14:paraId="3ED723D0" w14:textId="2E45E4EA"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Week 9</w:t>
            </w:r>
          </w:p>
        </w:tc>
        <w:tc>
          <w:tcPr>
            <w:tcW w:w="853" w:type="dxa"/>
            <w:vAlign w:val="center"/>
          </w:tcPr>
          <w:p w14:paraId="5E85B7D4" w14:textId="06C140C2"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3</w:t>
            </w:r>
          </w:p>
        </w:tc>
        <w:tc>
          <w:tcPr>
            <w:tcW w:w="6599" w:type="dxa"/>
            <w:vAlign w:val="center"/>
          </w:tcPr>
          <w:p w14:paraId="4AEA34FA" w14:textId="5DC41B97" w:rsidR="00754B60" w:rsidRPr="00C02BB7" w:rsidRDefault="00C02BB7" w:rsidP="00754B60">
            <w:pPr>
              <w:tabs>
                <w:tab w:val="left" w:pos="921"/>
              </w:tabs>
              <w:rPr>
                <w:rFonts w:asciiTheme="majorBidi" w:hAnsiTheme="majorBidi" w:cstheme="majorBidi"/>
              </w:rPr>
            </w:pPr>
            <w:r w:rsidRPr="00C02BB7">
              <w:rPr>
                <w:rFonts w:asciiTheme="majorBidi" w:hAnsiTheme="majorBidi" w:cstheme="majorBidi"/>
              </w:rPr>
              <w:t>Inventory Classification</w:t>
            </w:r>
          </w:p>
        </w:tc>
      </w:tr>
      <w:tr w:rsidR="00754B60" w:rsidRPr="00C02BB7" w14:paraId="0C5FEA34" w14:textId="77777777" w:rsidTr="00327959">
        <w:trPr>
          <w:trHeight w:val="278"/>
        </w:trPr>
        <w:tc>
          <w:tcPr>
            <w:tcW w:w="1423" w:type="dxa"/>
            <w:vAlign w:val="center"/>
          </w:tcPr>
          <w:p w14:paraId="7DB0453D" w14:textId="77777777"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10.</w:t>
            </w:r>
          </w:p>
        </w:tc>
        <w:tc>
          <w:tcPr>
            <w:tcW w:w="1555" w:type="dxa"/>
            <w:vAlign w:val="center"/>
          </w:tcPr>
          <w:p w14:paraId="6E5D3E47" w14:textId="26A596CC"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Week 10</w:t>
            </w:r>
          </w:p>
        </w:tc>
        <w:tc>
          <w:tcPr>
            <w:tcW w:w="853" w:type="dxa"/>
            <w:vAlign w:val="center"/>
          </w:tcPr>
          <w:p w14:paraId="0A2B1338" w14:textId="3EDE11F1"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3</w:t>
            </w:r>
          </w:p>
        </w:tc>
        <w:tc>
          <w:tcPr>
            <w:tcW w:w="6599" w:type="dxa"/>
            <w:vAlign w:val="center"/>
          </w:tcPr>
          <w:p w14:paraId="318D14B3" w14:textId="796A20CF" w:rsidR="00754B60" w:rsidRPr="00C02BB7" w:rsidRDefault="00C02BB7" w:rsidP="00754B60">
            <w:pPr>
              <w:tabs>
                <w:tab w:val="left" w:pos="921"/>
              </w:tabs>
              <w:rPr>
                <w:rFonts w:asciiTheme="majorBidi" w:hAnsiTheme="majorBidi" w:cstheme="majorBidi"/>
              </w:rPr>
            </w:pPr>
            <w:r w:rsidRPr="00C02BB7">
              <w:rPr>
                <w:rFonts w:asciiTheme="majorBidi" w:hAnsiTheme="majorBidi" w:cstheme="majorBidi"/>
              </w:rPr>
              <w:t>Inventory Systems</w:t>
            </w:r>
          </w:p>
        </w:tc>
      </w:tr>
      <w:tr w:rsidR="00754B60" w:rsidRPr="00C02BB7" w14:paraId="3067B7DB" w14:textId="77777777" w:rsidTr="00327959">
        <w:trPr>
          <w:trHeight w:val="471"/>
        </w:trPr>
        <w:tc>
          <w:tcPr>
            <w:tcW w:w="1423" w:type="dxa"/>
            <w:vAlign w:val="center"/>
          </w:tcPr>
          <w:p w14:paraId="56A871D4" w14:textId="77777777"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11.</w:t>
            </w:r>
          </w:p>
        </w:tc>
        <w:tc>
          <w:tcPr>
            <w:tcW w:w="1555" w:type="dxa"/>
            <w:vAlign w:val="center"/>
          </w:tcPr>
          <w:p w14:paraId="1723C0EA" w14:textId="3996D2DF"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Week 11</w:t>
            </w:r>
          </w:p>
        </w:tc>
        <w:tc>
          <w:tcPr>
            <w:tcW w:w="853" w:type="dxa"/>
            <w:vAlign w:val="center"/>
          </w:tcPr>
          <w:p w14:paraId="51AC7DE4" w14:textId="68631E9E" w:rsidR="00754B60" w:rsidRPr="00C02BB7" w:rsidRDefault="00754B60" w:rsidP="00754B60">
            <w:pPr>
              <w:tabs>
                <w:tab w:val="left" w:pos="921"/>
              </w:tabs>
              <w:rPr>
                <w:rFonts w:asciiTheme="majorBidi" w:hAnsiTheme="majorBidi" w:cstheme="majorBidi"/>
              </w:rPr>
            </w:pPr>
            <w:r w:rsidRPr="00C02BB7">
              <w:rPr>
                <w:rFonts w:asciiTheme="majorBidi" w:hAnsiTheme="majorBidi" w:cstheme="majorBidi"/>
              </w:rPr>
              <w:t>3</w:t>
            </w:r>
          </w:p>
        </w:tc>
        <w:tc>
          <w:tcPr>
            <w:tcW w:w="6599" w:type="dxa"/>
            <w:vAlign w:val="center"/>
          </w:tcPr>
          <w:p w14:paraId="61666619" w14:textId="446C4685" w:rsidR="00754B60" w:rsidRPr="00C02BB7" w:rsidRDefault="00C02BB7" w:rsidP="00754B60">
            <w:pPr>
              <w:tabs>
                <w:tab w:val="left" w:pos="921"/>
              </w:tabs>
              <w:rPr>
                <w:rFonts w:asciiTheme="majorBidi" w:hAnsiTheme="majorBidi" w:cstheme="majorBidi"/>
              </w:rPr>
            </w:pPr>
            <w:r w:rsidRPr="00C02BB7">
              <w:rPr>
                <w:rFonts w:asciiTheme="majorBidi" w:hAnsiTheme="majorBidi" w:cstheme="majorBidi"/>
              </w:rPr>
              <w:t>Costs Included in Inventory</w:t>
            </w:r>
          </w:p>
        </w:tc>
      </w:tr>
      <w:tr w:rsidR="00C02BB7" w:rsidRPr="00327959" w14:paraId="1695DE59" w14:textId="77777777" w:rsidTr="00327959">
        <w:trPr>
          <w:trHeight w:val="395"/>
        </w:trPr>
        <w:tc>
          <w:tcPr>
            <w:tcW w:w="1423" w:type="dxa"/>
            <w:vAlign w:val="center"/>
          </w:tcPr>
          <w:p w14:paraId="1605202E" w14:textId="77777777" w:rsidR="00C02BB7" w:rsidRDefault="00C02BB7" w:rsidP="00C02BB7">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C02BB7" w:rsidRDefault="00C02BB7" w:rsidP="00C02BB7">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C02BB7" w:rsidRDefault="00C02BB7" w:rsidP="00C02B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39295DCB" w:rsidR="00C02BB7" w:rsidRPr="00C02BB7" w:rsidRDefault="00C02BB7" w:rsidP="00C02BB7">
            <w:pPr>
              <w:tabs>
                <w:tab w:val="left" w:pos="921"/>
              </w:tabs>
              <w:rPr>
                <w:rFonts w:asciiTheme="majorBidi" w:hAnsiTheme="majorBidi" w:cstheme="majorBidi"/>
              </w:rPr>
            </w:pPr>
            <w:r w:rsidRPr="00C02BB7">
              <w:rPr>
                <w:rFonts w:asciiTheme="majorBidi" w:hAnsiTheme="majorBidi" w:cstheme="majorBidi"/>
              </w:rPr>
              <w:t>Average (Weighted) Method</w:t>
            </w:r>
          </w:p>
        </w:tc>
      </w:tr>
      <w:tr w:rsidR="00C02BB7" w:rsidRPr="00327959" w14:paraId="060D5906" w14:textId="77777777" w:rsidTr="00327959">
        <w:trPr>
          <w:trHeight w:val="461"/>
        </w:trPr>
        <w:tc>
          <w:tcPr>
            <w:tcW w:w="1423" w:type="dxa"/>
            <w:vAlign w:val="center"/>
          </w:tcPr>
          <w:p w14:paraId="0E7FB834" w14:textId="77777777" w:rsidR="00C02BB7" w:rsidRDefault="00C02BB7" w:rsidP="00C02BB7">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C02BB7" w:rsidRDefault="00C02BB7" w:rsidP="00C02BB7">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C02BB7" w:rsidRDefault="00C02BB7" w:rsidP="00C02B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6E0E78D5" w:rsidR="00C02BB7" w:rsidRPr="00C02BB7" w:rsidRDefault="00C02BB7" w:rsidP="00C02BB7">
            <w:pPr>
              <w:tabs>
                <w:tab w:val="left" w:pos="921"/>
              </w:tabs>
              <w:rPr>
                <w:rFonts w:asciiTheme="majorBidi" w:hAnsiTheme="majorBidi" w:cstheme="majorBidi"/>
              </w:rPr>
            </w:pPr>
            <w:r w:rsidRPr="00C02BB7">
              <w:rPr>
                <w:rFonts w:asciiTheme="majorBidi" w:hAnsiTheme="majorBidi" w:cstheme="majorBidi"/>
              </w:rPr>
              <w:t>Last-In, First-Out (LIFO) Method</w:t>
            </w:r>
          </w:p>
        </w:tc>
      </w:tr>
      <w:tr w:rsidR="00C02BB7" w:rsidRPr="00327959" w14:paraId="49CC413C" w14:textId="77777777" w:rsidTr="00327959">
        <w:trPr>
          <w:trHeight w:val="399"/>
        </w:trPr>
        <w:tc>
          <w:tcPr>
            <w:tcW w:w="1423" w:type="dxa"/>
            <w:vAlign w:val="center"/>
          </w:tcPr>
          <w:p w14:paraId="491D013D" w14:textId="77777777" w:rsidR="00C02BB7" w:rsidRDefault="00C02BB7" w:rsidP="00C02BB7">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C02BB7" w:rsidRDefault="00C02BB7" w:rsidP="00C02BB7">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C02BB7" w:rsidRDefault="00C02BB7" w:rsidP="00C02B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235BEB9C" w:rsidR="00C02BB7" w:rsidRPr="00C02BB7" w:rsidRDefault="00C02BB7" w:rsidP="00C02BB7">
            <w:pPr>
              <w:tabs>
                <w:tab w:val="left" w:pos="921"/>
              </w:tabs>
              <w:rPr>
                <w:rFonts w:asciiTheme="majorBidi" w:hAnsiTheme="majorBidi" w:cstheme="majorBidi"/>
              </w:rPr>
            </w:pPr>
            <w:r w:rsidRPr="00C02BB7">
              <w:rPr>
                <w:rFonts w:asciiTheme="majorBidi" w:hAnsiTheme="majorBidi" w:cstheme="majorBidi"/>
              </w:rPr>
              <w:t>LIFO Layers, and Advantages of the LIFO Method</w:t>
            </w:r>
          </w:p>
        </w:tc>
      </w:tr>
      <w:tr w:rsidR="00C02BB7" w:rsidRPr="00327959" w14:paraId="05677CED" w14:textId="77777777" w:rsidTr="0091368E">
        <w:trPr>
          <w:trHeight w:val="632"/>
        </w:trPr>
        <w:tc>
          <w:tcPr>
            <w:tcW w:w="1423" w:type="dxa"/>
            <w:vAlign w:val="center"/>
          </w:tcPr>
          <w:p w14:paraId="3BEF8139" w14:textId="77777777" w:rsidR="00C02BB7" w:rsidRDefault="00C02BB7" w:rsidP="00C02BB7">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C02BB7" w:rsidRDefault="00C02BB7" w:rsidP="00C02BB7">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C02BB7" w:rsidRDefault="00C02BB7" w:rsidP="00C02BB7">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33D5FC5C"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7C2EB8">
              <w:rPr>
                <w:rFonts w:ascii="Times New Roman" w:hAnsi="Times New Roman" w:cs="Times New Roman"/>
                <w:b/>
              </w:rPr>
              <w:t>Intermediate Accounting</w:t>
            </w:r>
          </w:p>
          <w:p w14:paraId="0AE5ABC4" w14:textId="7B364B10"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of </w:t>
            </w:r>
            <w:r w:rsidR="00327959">
              <w:rPr>
                <w:rFonts w:ascii="Times New Roman" w:hAnsi="Times New Roman" w:cs="Times New Roman"/>
                <w:b/>
              </w:rPr>
              <w:t xml:space="preserve"> </w:t>
            </w:r>
            <w:r w:rsidR="007C2EB8">
              <w:rPr>
                <w:rFonts w:ascii="Times New Roman" w:hAnsi="Times New Roman" w:cs="Times New Roman"/>
                <w:b/>
              </w:rPr>
              <w:t xml:space="preserve"> Intermediate Accounting</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lastRenderedPageBreak/>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default" r:id="rId8"/>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EDE8" w14:textId="77777777" w:rsidR="00367778" w:rsidRDefault="00367778" w:rsidP="00FA1355">
      <w:pPr>
        <w:spacing w:after="0" w:line="240" w:lineRule="auto"/>
      </w:pPr>
      <w:r>
        <w:separator/>
      </w:r>
    </w:p>
  </w:endnote>
  <w:endnote w:type="continuationSeparator" w:id="0">
    <w:p w14:paraId="07830693" w14:textId="77777777" w:rsidR="00367778" w:rsidRDefault="00367778"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DD01" w14:textId="77777777" w:rsidR="00367778" w:rsidRDefault="00367778" w:rsidP="00FA1355">
      <w:pPr>
        <w:spacing w:after="0" w:line="240" w:lineRule="auto"/>
      </w:pPr>
      <w:r>
        <w:separator/>
      </w:r>
    </w:p>
  </w:footnote>
  <w:footnote w:type="continuationSeparator" w:id="0">
    <w:p w14:paraId="50CDFC64" w14:textId="77777777" w:rsidR="00367778" w:rsidRDefault="00367778"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97DF6"/>
    <w:multiLevelType w:val="hybridMultilevel"/>
    <w:tmpl w:val="761EB73E"/>
    <w:lvl w:ilvl="0" w:tplc="E3BE8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920304"/>
    <w:multiLevelType w:val="multilevel"/>
    <w:tmpl w:val="CB20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5"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30A55"/>
    <w:multiLevelType w:val="hybridMultilevel"/>
    <w:tmpl w:val="01F8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6"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7"/>
  </w:num>
  <w:num w:numId="2" w16cid:durableId="184515235">
    <w:abstractNumId w:val="21"/>
  </w:num>
  <w:num w:numId="3" w16cid:durableId="1180437779">
    <w:abstractNumId w:val="48"/>
  </w:num>
  <w:num w:numId="4" w16cid:durableId="2071534275">
    <w:abstractNumId w:val="29"/>
  </w:num>
  <w:num w:numId="5" w16cid:durableId="1692075180">
    <w:abstractNumId w:val="27"/>
  </w:num>
  <w:num w:numId="6" w16cid:durableId="1675766324">
    <w:abstractNumId w:val="8"/>
  </w:num>
  <w:num w:numId="7" w16cid:durableId="1707825228">
    <w:abstractNumId w:val="53"/>
  </w:num>
  <w:num w:numId="8" w16cid:durableId="532697561">
    <w:abstractNumId w:val="20"/>
  </w:num>
  <w:num w:numId="9" w16cid:durableId="823395357">
    <w:abstractNumId w:val="54"/>
  </w:num>
  <w:num w:numId="10" w16cid:durableId="2141263346">
    <w:abstractNumId w:val="49"/>
  </w:num>
  <w:num w:numId="11" w16cid:durableId="804465947">
    <w:abstractNumId w:val="2"/>
  </w:num>
  <w:num w:numId="12" w16cid:durableId="1465388701">
    <w:abstractNumId w:val="9"/>
  </w:num>
  <w:num w:numId="13" w16cid:durableId="1285038066">
    <w:abstractNumId w:val="16"/>
  </w:num>
  <w:num w:numId="14" w16cid:durableId="945623778">
    <w:abstractNumId w:val="39"/>
  </w:num>
  <w:num w:numId="15" w16cid:durableId="1906908734">
    <w:abstractNumId w:val="24"/>
  </w:num>
  <w:num w:numId="16" w16cid:durableId="989796010">
    <w:abstractNumId w:val="0"/>
  </w:num>
  <w:num w:numId="17" w16cid:durableId="351952083">
    <w:abstractNumId w:val="46"/>
  </w:num>
  <w:num w:numId="18" w16cid:durableId="13657845">
    <w:abstractNumId w:val="42"/>
  </w:num>
  <w:num w:numId="19" w16cid:durableId="576210538">
    <w:abstractNumId w:val="50"/>
  </w:num>
  <w:num w:numId="20" w16cid:durableId="1700400430">
    <w:abstractNumId w:val="26"/>
  </w:num>
  <w:num w:numId="21" w16cid:durableId="1189683940">
    <w:abstractNumId w:val="44"/>
  </w:num>
  <w:num w:numId="22" w16cid:durableId="1227882841">
    <w:abstractNumId w:val="45"/>
  </w:num>
  <w:num w:numId="23" w16cid:durableId="118845219">
    <w:abstractNumId w:val="11"/>
  </w:num>
  <w:num w:numId="24" w16cid:durableId="1283464622">
    <w:abstractNumId w:val="14"/>
  </w:num>
  <w:num w:numId="25" w16cid:durableId="577904958">
    <w:abstractNumId w:val="19"/>
  </w:num>
  <w:num w:numId="26" w16cid:durableId="904032235">
    <w:abstractNumId w:val="56"/>
  </w:num>
  <w:num w:numId="27" w16cid:durableId="1238858618">
    <w:abstractNumId w:val="51"/>
  </w:num>
  <w:num w:numId="28" w16cid:durableId="1038165128">
    <w:abstractNumId w:val="28"/>
  </w:num>
  <w:num w:numId="29" w16cid:durableId="1305891576">
    <w:abstractNumId w:val="31"/>
  </w:num>
  <w:num w:numId="30" w16cid:durableId="2096049349">
    <w:abstractNumId w:val="30"/>
  </w:num>
  <w:num w:numId="31" w16cid:durableId="2040349248">
    <w:abstractNumId w:val="15"/>
  </w:num>
  <w:num w:numId="32" w16cid:durableId="1080639761">
    <w:abstractNumId w:val="55"/>
  </w:num>
  <w:num w:numId="33" w16cid:durableId="1162699378">
    <w:abstractNumId w:val="5"/>
  </w:num>
  <w:num w:numId="34" w16cid:durableId="1295334775">
    <w:abstractNumId w:val="40"/>
  </w:num>
  <w:num w:numId="35" w16cid:durableId="817380266">
    <w:abstractNumId w:val="52"/>
  </w:num>
  <w:num w:numId="36" w16cid:durableId="1292711028">
    <w:abstractNumId w:val="36"/>
  </w:num>
  <w:num w:numId="37" w16cid:durableId="285233496">
    <w:abstractNumId w:val="18"/>
  </w:num>
  <w:num w:numId="38" w16cid:durableId="1935632043">
    <w:abstractNumId w:val="25"/>
  </w:num>
  <w:num w:numId="39" w16cid:durableId="220212948">
    <w:abstractNumId w:val="1"/>
  </w:num>
  <w:num w:numId="40" w16cid:durableId="1616251670">
    <w:abstractNumId w:val="10"/>
  </w:num>
  <w:num w:numId="41" w16cid:durableId="1310330001">
    <w:abstractNumId w:val="22"/>
  </w:num>
  <w:num w:numId="42" w16cid:durableId="944264892">
    <w:abstractNumId w:val="47"/>
  </w:num>
  <w:num w:numId="43" w16cid:durableId="1901789264">
    <w:abstractNumId w:val="13"/>
  </w:num>
  <w:num w:numId="44" w16cid:durableId="90928843">
    <w:abstractNumId w:val="7"/>
  </w:num>
  <w:num w:numId="45" w16cid:durableId="230040366">
    <w:abstractNumId w:val="3"/>
  </w:num>
  <w:num w:numId="46" w16cid:durableId="14330904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5"/>
  </w:num>
  <w:num w:numId="48" w16cid:durableId="491020519">
    <w:abstractNumId w:val="37"/>
  </w:num>
  <w:num w:numId="49" w16cid:durableId="6056967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3"/>
  </w:num>
  <w:num w:numId="51" w16cid:durableId="1500929114">
    <w:abstractNumId w:val="6"/>
  </w:num>
  <w:num w:numId="52" w16cid:durableId="191844489">
    <w:abstractNumId w:val="32"/>
  </w:num>
  <w:num w:numId="53" w16cid:durableId="893465263">
    <w:abstractNumId w:val="34"/>
  </w:num>
  <w:num w:numId="54" w16cid:durableId="1214537319">
    <w:abstractNumId w:val="4"/>
  </w:num>
  <w:num w:numId="55" w16cid:durableId="385837206">
    <w:abstractNumId w:val="12"/>
  </w:num>
  <w:num w:numId="56" w16cid:durableId="924148511">
    <w:abstractNumId w:val="33"/>
  </w:num>
  <w:num w:numId="57" w16cid:durableId="17172007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05C96"/>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54B60"/>
    <w:rsid w:val="0076334D"/>
    <w:rsid w:val="007A14AF"/>
    <w:rsid w:val="007B7CF4"/>
    <w:rsid w:val="007C2EB8"/>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02BB7"/>
    <w:rsid w:val="00C031FA"/>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416"/>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289622457">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2023-06-05T18:36:00Z</dcterms:created>
  <dcterms:modified xsi:type="dcterms:W3CDTF">2023-06-05T18:36:00Z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